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3E2779" w14:textId="1B9E898A" w:rsidR="00EF3F7E" w:rsidRPr="007269D4" w:rsidRDefault="00EF3F7E" w:rsidP="002B23A1">
      <w:pPr>
        <w:widowControl w:val="0"/>
        <w:tabs>
          <w:tab w:val="left" w:pos="1725"/>
        </w:tabs>
        <w:autoSpaceDE w:val="0"/>
        <w:autoSpaceDN w:val="0"/>
        <w:adjustRightInd w:val="0"/>
        <w:spacing w:before="120" w:after="120"/>
        <w:rPr>
          <w:rFonts w:asciiTheme="minorHAnsi" w:hAnsiTheme="minorHAnsi" w:cstheme="minorHAnsi"/>
          <w:b/>
          <w:i/>
        </w:rPr>
      </w:pPr>
    </w:p>
    <w:p w14:paraId="7A59B0D1" w14:textId="5DE13F81" w:rsidR="00617546" w:rsidRPr="007269D4" w:rsidRDefault="00617546" w:rsidP="00617546">
      <w:pPr>
        <w:rPr>
          <w:rFonts w:asciiTheme="minorHAnsi" w:hAnsiTheme="minorHAnsi" w:cstheme="minorHAnsi"/>
        </w:rPr>
      </w:pPr>
    </w:p>
    <w:tbl>
      <w:tblPr>
        <w:tblStyle w:val="Tabela-Siatka"/>
        <w:tblW w:w="0" w:type="auto"/>
        <w:jc w:val="center"/>
        <w:tblLayout w:type="fixed"/>
        <w:tblLook w:val="04A0" w:firstRow="1" w:lastRow="0" w:firstColumn="1" w:lastColumn="0" w:noHBand="0" w:noVBand="1"/>
      </w:tblPr>
      <w:tblGrid>
        <w:gridCol w:w="675"/>
        <w:gridCol w:w="1560"/>
        <w:gridCol w:w="1917"/>
        <w:gridCol w:w="4746"/>
        <w:gridCol w:w="4521"/>
      </w:tblGrid>
      <w:tr w:rsidR="00192EA5" w:rsidRPr="00192EA5" w14:paraId="273104AD" w14:textId="77777777" w:rsidTr="00671CD8">
        <w:trPr>
          <w:jc w:val="center"/>
        </w:trPr>
        <w:tc>
          <w:tcPr>
            <w:tcW w:w="675" w:type="dxa"/>
            <w:vAlign w:val="center"/>
          </w:tcPr>
          <w:p w14:paraId="41825B9C" w14:textId="7801CEC4" w:rsidR="002F2AFA" w:rsidRPr="008B0B7C" w:rsidRDefault="002F2AFA" w:rsidP="00370DA3">
            <w:pPr>
              <w:widowControl w:val="0"/>
              <w:autoSpaceDE w:val="0"/>
              <w:autoSpaceDN w:val="0"/>
              <w:adjustRightInd w:val="0"/>
              <w:spacing w:before="120" w:after="120"/>
              <w:jc w:val="center"/>
              <w:rPr>
                <w:rFonts w:asciiTheme="minorHAnsi" w:hAnsiTheme="minorHAnsi" w:cstheme="minorHAnsi"/>
                <w:b/>
              </w:rPr>
            </w:pPr>
            <w:r w:rsidRPr="008B0B7C">
              <w:rPr>
                <w:rFonts w:asciiTheme="minorHAnsi" w:hAnsiTheme="minorHAnsi" w:cstheme="minorHAnsi"/>
                <w:b/>
              </w:rPr>
              <w:t>Lp.</w:t>
            </w:r>
          </w:p>
        </w:tc>
        <w:tc>
          <w:tcPr>
            <w:tcW w:w="1560" w:type="dxa"/>
            <w:vAlign w:val="center"/>
          </w:tcPr>
          <w:p w14:paraId="41015726" w14:textId="77777777" w:rsidR="002F2AFA" w:rsidRPr="00C90DB8" w:rsidRDefault="002F2AFA" w:rsidP="007269D4">
            <w:pPr>
              <w:pStyle w:val="Bezodstpw"/>
              <w:jc w:val="center"/>
              <w:rPr>
                <w:rFonts w:asciiTheme="minorHAnsi" w:hAnsiTheme="minorHAnsi" w:cstheme="minorHAnsi"/>
                <w:b/>
              </w:rPr>
            </w:pPr>
            <w:r w:rsidRPr="00C90DB8">
              <w:rPr>
                <w:rFonts w:asciiTheme="minorHAnsi" w:hAnsiTheme="minorHAnsi" w:cstheme="minorHAnsi"/>
                <w:b/>
              </w:rPr>
              <w:t>Jednostka redakcyjna</w:t>
            </w:r>
          </w:p>
        </w:tc>
        <w:tc>
          <w:tcPr>
            <w:tcW w:w="1917" w:type="dxa"/>
          </w:tcPr>
          <w:p w14:paraId="6B7920B9" w14:textId="77777777" w:rsidR="002F2AFA" w:rsidRPr="008B0B7C" w:rsidRDefault="002F2AFA" w:rsidP="00847234">
            <w:pPr>
              <w:widowControl w:val="0"/>
              <w:autoSpaceDE w:val="0"/>
              <w:autoSpaceDN w:val="0"/>
              <w:adjustRightInd w:val="0"/>
              <w:spacing w:before="120" w:after="120"/>
              <w:jc w:val="center"/>
              <w:rPr>
                <w:rFonts w:asciiTheme="minorHAnsi" w:hAnsiTheme="minorHAnsi" w:cstheme="minorHAnsi"/>
              </w:rPr>
            </w:pPr>
            <w:r w:rsidRPr="008B0B7C">
              <w:rPr>
                <w:rFonts w:asciiTheme="minorHAnsi" w:hAnsiTheme="minorHAnsi" w:cstheme="minorHAnsi"/>
                <w:b/>
              </w:rPr>
              <w:t>Podmiot</w:t>
            </w:r>
          </w:p>
        </w:tc>
        <w:tc>
          <w:tcPr>
            <w:tcW w:w="4746" w:type="dxa"/>
          </w:tcPr>
          <w:p w14:paraId="20E943D5" w14:textId="77777777" w:rsidR="002F2AFA" w:rsidRPr="008B0B7C" w:rsidRDefault="002F2AFA" w:rsidP="00847234">
            <w:pPr>
              <w:widowControl w:val="0"/>
              <w:autoSpaceDE w:val="0"/>
              <w:autoSpaceDN w:val="0"/>
              <w:adjustRightInd w:val="0"/>
              <w:spacing w:before="120" w:after="120"/>
              <w:jc w:val="center"/>
              <w:rPr>
                <w:rFonts w:asciiTheme="minorHAnsi" w:hAnsiTheme="minorHAnsi" w:cstheme="minorHAnsi"/>
              </w:rPr>
            </w:pPr>
            <w:r w:rsidRPr="008B0B7C">
              <w:rPr>
                <w:rFonts w:asciiTheme="minorHAnsi" w:hAnsiTheme="minorHAnsi" w:cstheme="minorHAnsi"/>
                <w:b/>
              </w:rPr>
              <w:t>Uwagi</w:t>
            </w:r>
          </w:p>
        </w:tc>
        <w:tc>
          <w:tcPr>
            <w:tcW w:w="4521" w:type="dxa"/>
          </w:tcPr>
          <w:p w14:paraId="2FDC0823" w14:textId="77777777" w:rsidR="002F2AFA" w:rsidRPr="008B0B7C" w:rsidRDefault="002F2AFA" w:rsidP="00847234">
            <w:pPr>
              <w:widowControl w:val="0"/>
              <w:autoSpaceDE w:val="0"/>
              <w:autoSpaceDN w:val="0"/>
              <w:adjustRightInd w:val="0"/>
              <w:spacing w:before="120" w:after="120"/>
              <w:jc w:val="center"/>
              <w:rPr>
                <w:rFonts w:asciiTheme="minorHAnsi" w:hAnsiTheme="minorHAnsi" w:cstheme="minorHAnsi"/>
              </w:rPr>
            </w:pPr>
            <w:r w:rsidRPr="008B0B7C">
              <w:rPr>
                <w:rFonts w:asciiTheme="minorHAnsi" w:hAnsiTheme="minorHAnsi" w:cstheme="minorHAnsi"/>
                <w:b/>
              </w:rPr>
              <w:t>Stanowisko</w:t>
            </w:r>
          </w:p>
        </w:tc>
      </w:tr>
      <w:tr w:rsidR="00DE7613" w:rsidRPr="00192EA5" w14:paraId="7F9BBD47" w14:textId="77777777" w:rsidTr="00300676">
        <w:trPr>
          <w:trHeight w:val="2910"/>
          <w:jc w:val="center"/>
        </w:trPr>
        <w:tc>
          <w:tcPr>
            <w:tcW w:w="675" w:type="dxa"/>
            <w:vAlign w:val="center"/>
          </w:tcPr>
          <w:p w14:paraId="393B7E7F" w14:textId="2C60FE45" w:rsidR="00DE7613" w:rsidRDefault="00671CD8" w:rsidP="00212416">
            <w:pPr>
              <w:rPr>
                <w:rFonts w:ascii="Calibri" w:hAnsi="Calibri" w:cs="Calibri"/>
                <w:color w:val="000000"/>
                <w:sz w:val="22"/>
                <w:szCs w:val="22"/>
              </w:rPr>
            </w:pPr>
            <w:r>
              <w:rPr>
                <w:rFonts w:ascii="Calibri" w:hAnsi="Calibri" w:cs="Calibri"/>
                <w:color w:val="000000"/>
                <w:sz w:val="22"/>
                <w:szCs w:val="22"/>
              </w:rPr>
              <w:t>1</w:t>
            </w:r>
          </w:p>
        </w:tc>
        <w:tc>
          <w:tcPr>
            <w:tcW w:w="1560" w:type="dxa"/>
            <w:vAlign w:val="center"/>
          </w:tcPr>
          <w:p w14:paraId="3A708DAD" w14:textId="6C47D8C8" w:rsidR="00DE7613" w:rsidRPr="008B0B7C" w:rsidRDefault="00DE7613" w:rsidP="007269D4">
            <w:pPr>
              <w:pStyle w:val="Bezodstpw"/>
              <w:jc w:val="center"/>
              <w:rPr>
                <w:rFonts w:asciiTheme="minorHAnsi" w:hAnsiTheme="minorHAnsi" w:cstheme="minorHAnsi"/>
              </w:rPr>
            </w:pPr>
            <w:r w:rsidRPr="00DE7613">
              <w:rPr>
                <w:rFonts w:asciiTheme="minorHAnsi" w:hAnsiTheme="minorHAnsi" w:cstheme="minorHAnsi"/>
              </w:rPr>
              <w:t>§ 2</w:t>
            </w:r>
          </w:p>
        </w:tc>
        <w:tc>
          <w:tcPr>
            <w:tcW w:w="1917" w:type="dxa"/>
            <w:vAlign w:val="center"/>
          </w:tcPr>
          <w:p w14:paraId="0AF800E4" w14:textId="188B52A4" w:rsidR="00DE7613" w:rsidRDefault="00DE7613" w:rsidP="00616679">
            <w:pPr>
              <w:jc w:val="center"/>
              <w:rPr>
                <w:rFonts w:asciiTheme="minorHAnsi" w:hAnsiTheme="minorHAnsi" w:cstheme="minorHAnsi"/>
              </w:rPr>
            </w:pPr>
            <w:r>
              <w:rPr>
                <w:rFonts w:asciiTheme="minorHAnsi" w:hAnsiTheme="minorHAnsi" w:cstheme="minorHAnsi"/>
              </w:rPr>
              <w:t>RCL</w:t>
            </w:r>
          </w:p>
        </w:tc>
        <w:tc>
          <w:tcPr>
            <w:tcW w:w="4746" w:type="dxa"/>
            <w:vAlign w:val="center"/>
          </w:tcPr>
          <w:p w14:paraId="6746D28A" w14:textId="59832E12" w:rsidR="00DE7613" w:rsidRPr="00616679" w:rsidRDefault="00DE7613" w:rsidP="00DE7613">
            <w:pPr>
              <w:autoSpaceDE w:val="0"/>
              <w:autoSpaceDN w:val="0"/>
              <w:adjustRightInd w:val="0"/>
              <w:jc w:val="both"/>
              <w:rPr>
                <w:rFonts w:asciiTheme="minorHAnsi" w:hAnsiTheme="minorHAnsi" w:cstheme="minorHAnsi"/>
              </w:rPr>
            </w:pPr>
            <w:r w:rsidRPr="00DE7613">
              <w:rPr>
                <w:rFonts w:asciiTheme="minorHAnsi" w:hAnsiTheme="minorHAnsi" w:cstheme="minorHAnsi"/>
              </w:rPr>
              <w:t>Zasadnym wydaje się wyjaśnienie projektowanego terminu wejścia w życie</w:t>
            </w:r>
            <w:r>
              <w:rPr>
                <w:rFonts w:asciiTheme="minorHAnsi" w:hAnsiTheme="minorHAnsi" w:cstheme="minorHAnsi"/>
              </w:rPr>
              <w:t xml:space="preserve"> </w:t>
            </w:r>
            <w:r w:rsidRPr="00DE7613">
              <w:rPr>
                <w:rFonts w:asciiTheme="minorHAnsi" w:hAnsiTheme="minorHAnsi" w:cstheme="minorHAnsi"/>
              </w:rPr>
              <w:t>rozporządzenia (po upływie 30 dni od dnia ogłoszenia)</w:t>
            </w:r>
          </w:p>
        </w:tc>
        <w:tc>
          <w:tcPr>
            <w:tcW w:w="4521" w:type="dxa"/>
            <w:vAlign w:val="center"/>
          </w:tcPr>
          <w:p w14:paraId="778027F7" w14:textId="2F5947AC" w:rsidR="002611B6" w:rsidRDefault="002611B6" w:rsidP="002611B6">
            <w:pPr>
              <w:widowControl w:val="0"/>
              <w:autoSpaceDE w:val="0"/>
              <w:autoSpaceDN w:val="0"/>
              <w:adjustRightInd w:val="0"/>
              <w:spacing w:before="120" w:after="120"/>
              <w:jc w:val="both"/>
              <w:rPr>
                <w:rFonts w:asciiTheme="minorHAnsi" w:hAnsiTheme="minorHAnsi" w:cstheme="minorHAnsi"/>
              </w:rPr>
            </w:pPr>
            <w:r>
              <w:rPr>
                <w:rFonts w:asciiTheme="minorHAnsi" w:hAnsiTheme="minorHAnsi" w:cstheme="minorHAnsi"/>
              </w:rPr>
              <w:t xml:space="preserve">Termin 30 dni </w:t>
            </w:r>
            <w:r w:rsidR="00294802">
              <w:rPr>
                <w:rFonts w:asciiTheme="minorHAnsi" w:hAnsiTheme="minorHAnsi" w:cstheme="minorHAnsi"/>
              </w:rPr>
              <w:t xml:space="preserve">na </w:t>
            </w:r>
            <w:r w:rsidR="00C73871">
              <w:rPr>
                <w:rFonts w:asciiTheme="minorHAnsi" w:hAnsiTheme="minorHAnsi" w:cstheme="minorHAnsi"/>
              </w:rPr>
              <w:t xml:space="preserve">wejście w życie rozporządzenia </w:t>
            </w:r>
            <w:r>
              <w:rPr>
                <w:rFonts w:asciiTheme="minorHAnsi" w:hAnsiTheme="minorHAnsi" w:cstheme="minorHAnsi"/>
              </w:rPr>
              <w:t xml:space="preserve">przyjęto uwzględniając czas na wdrożenie rozporządzenia przez producentów, dystrybutorów i sprzedawców w celu umożliwienia świadomego </w:t>
            </w:r>
            <w:r w:rsidR="008631C6">
              <w:rPr>
                <w:rFonts w:asciiTheme="minorHAnsi" w:hAnsiTheme="minorHAnsi" w:cstheme="minorHAnsi"/>
              </w:rPr>
              <w:t>w</w:t>
            </w:r>
            <w:r>
              <w:rPr>
                <w:rFonts w:asciiTheme="minorHAnsi" w:hAnsiTheme="minorHAnsi" w:cstheme="minorHAnsi"/>
              </w:rPr>
              <w:t>prowadzenia do obrot</w:t>
            </w:r>
            <w:r w:rsidR="00423B8F">
              <w:rPr>
                <w:rFonts w:asciiTheme="minorHAnsi" w:hAnsiTheme="minorHAnsi" w:cstheme="minorHAnsi"/>
              </w:rPr>
              <w:t>u</w:t>
            </w:r>
            <w:r>
              <w:rPr>
                <w:rFonts w:asciiTheme="minorHAnsi" w:hAnsiTheme="minorHAnsi" w:cstheme="minorHAnsi"/>
              </w:rPr>
              <w:t xml:space="preserve"> odbiorników radiowych spełniających </w:t>
            </w:r>
            <w:r w:rsidRPr="002611B6">
              <w:rPr>
                <w:rFonts w:asciiTheme="minorHAnsi" w:hAnsiTheme="minorHAnsi" w:cstheme="minorHAnsi"/>
              </w:rPr>
              <w:t>warunk</w:t>
            </w:r>
            <w:r>
              <w:rPr>
                <w:rFonts w:asciiTheme="minorHAnsi" w:hAnsiTheme="minorHAnsi" w:cstheme="minorHAnsi"/>
              </w:rPr>
              <w:t>i</w:t>
            </w:r>
            <w:r w:rsidRPr="002611B6">
              <w:rPr>
                <w:rFonts w:asciiTheme="minorHAnsi" w:hAnsiTheme="minorHAnsi" w:cstheme="minorHAnsi"/>
              </w:rPr>
              <w:t xml:space="preserve"> techniczn</w:t>
            </w:r>
            <w:r>
              <w:rPr>
                <w:rFonts w:asciiTheme="minorHAnsi" w:hAnsiTheme="minorHAnsi" w:cstheme="minorHAnsi"/>
              </w:rPr>
              <w:t>e</w:t>
            </w:r>
            <w:r w:rsidRPr="002611B6">
              <w:rPr>
                <w:rFonts w:asciiTheme="minorHAnsi" w:hAnsiTheme="minorHAnsi" w:cstheme="minorHAnsi"/>
              </w:rPr>
              <w:t xml:space="preserve"> i eksploatacyjn</w:t>
            </w:r>
            <w:r>
              <w:rPr>
                <w:rFonts w:asciiTheme="minorHAnsi" w:hAnsiTheme="minorHAnsi" w:cstheme="minorHAnsi"/>
              </w:rPr>
              <w:t>e</w:t>
            </w:r>
            <w:r w:rsidRPr="002611B6">
              <w:rPr>
                <w:rFonts w:asciiTheme="minorHAnsi" w:hAnsiTheme="minorHAnsi" w:cstheme="minorHAnsi"/>
              </w:rPr>
              <w:t xml:space="preserve"> </w:t>
            </w:r>
            <w:r>
              <w:rPr>
                <w:rFonts w:asciiTheme="minorHAnsi" w:hAnsiTheme="minorHAnsi" w:cstheme="minorHAnsi"/>
              </w:rPr>
              <w:t>oraz przygotowania informacji dla konsumentów.</w:t>
            </w:r>
          </w:p>
          <w:p w14:paraId="21445FC6" w14:textId="12A8E34A" w:rsidR="00294802" w:rsidRDefault="00294802" w:rsidP="002611B6">
            <w:pPr>
              <w:widowControl w:val="0"/>
              <w:autoSpaceDE w:val="0"/>
              <w:autoSpaceDN w:val="0"/>
              <w:adjustRightInd w:val="0"/>
              <w:spacing w:before="120" w:after="120"/>
              <w:jc w:val="both"/>
              <w:rPr>
                <w:rFonts w:asciiTheme="minorHAnsi" w:hAnsiTheme="minorHAnsi" w:cstheme="minorHAnsi"/>
              </w:rPr>
            </w:pPr>
            <w:r>
              <w:rPr>
                <w:rFonts w:asciiTheme="minorHAnsi" w:hAnsiTheme="minorHAnsi" w:cstheme="minorHAnsi"/>
              </w:rPr>
              <w:t>W ramach konsultacji projektu z organizacjami branżowymi skupiającymi m.in. producentów sprzętu radiowego termin ten nie był kwestionowany.</w:t>
            </w:r>
          </w:p>
          <w:p w14:paraId="2307DC50" w14:textId="4281F5DF" w:rsidR="00DE7613" w:rsidRPr="008B0B7C" w:rsidRDefault="00DE7613" w:rsidP="002611B6">
            <w:pPr>
              <w:widowControl w:val="0"/>
              <w:autoSpaceDE w:val="0"/>
              <w:autoSpaceDN w:val="0"/>
              <w:adjustRightInd w:val="0"/>
              <w:spacing w:before="120" w:after="120"/>
              <w:jc w:val="both"/>
              <w:rPr>
                <w:rFonts w:asciiTheme="minorHAnsi" w:hAnsiTheme="minorHAnsi" w:cstheme="minorHAnsi"/>
              </w:rPr>
            </w:pPr>
          </w:p>
        </w:tc>
      </w:tr>
      <w:tr w:rsidR="00DE7613" w:rsidRPr="00192EA5" w14:paraId="3BD884D3" w14:textId="77777777" w:rsidTr="00300676">
        <w:trPr>
          <w:trHeight w:val="2910"/>
          <w:jc w:val="center"/>
        </w:trPr>
        <w:tc>
          <w:tcPr>
            <w:tcW w:w="675" w:type="dxa"/>
            <w:vAlign w:val="center"/>
          </w:tcPr>
          <w:p w14:paraId="693B7176" w14:textId="571AFD14" w:rsidR="00DE7613" w:rsidRDefault="00671CD8" w:rsidP="00212416">
            <w:pPr>
              <w:rPr>
                <w:rFonts w:ascii="Calibri" w:hAnsi="Calibri" w:cs="Calibri"/>
                <w:color w:val="000000"/>
                <w:sz w:val="22"/>
                <w:szCs w:val="22"/>
              </w:rPr>
            </w:pPr>
            <w:r>
              <w:rPr>
                <w:rFonts w:ascii="Calibri" w:hAnsi="Calibri" w:cs="Calibri"/>
                <w:color w:val="000000"/>
                <w:sz w:val="22"/>
                <w:szCs w:val="22"/>
              </w:rPr>
              <w:t>2</w:t>
            </w:r>
          </w:p>
        </w:tc>
        <w:tc>
          <w:tcPr>
            <w:tcW w:w="1560" w:type="dxa"/>
            <w:vAlign w:val="center"/>
          </w:tcPr>
          <w:p w14:paraId="287CB6AD" w14:textId="7A8452C7" w:rsidR="00DE7613" w:rsidRPr="00DE7613" w:rsidRDefault="00DE7613" w:rsidP="007269D4">
            <w:pPr>
              <w:pStyle w:val="Bezodstpw"/>
              <w:jc w:val="center"/>
              <w:rPr>
                <w:rFonts w:asciiTheme="minorHAnsi" w:hAnsiTheme="minorHAnsi" w:cstheme="minorHAnsi"/>
              </w:rPr>
            </w:pPr>
            <w:r>
              <w:rPr>
                <w:rFonts w:asciiTheme="minorHAnsi" w:hAnsiTheme="minorHAnsi" w:cstheme="minorHAnsi"/>
              </w:rPr>
              <w:t>Rozporządzenie</w:t>
            </w:r>
          </w:p>
        </w:tc>
        <w:tc>
          <w:tcPr>
            <w:tcW w:w="1917" w:type="dxa"/>
            <w:vAlign w:val="center"/>
          </w:tcPr>
          <w:p w14:paraId="5378D986" w14:textId="4168A350" w:rsidR="00DE7613" w:rsidRDefault="00DE7613" w:rsidP="00616679">
            <w:pPr>
              <w:jc w:val="center"/>
              <w:rPr>
                <w:rFonts w:asciiTheme="minorHAnsi" w:hAnsiTheme="minorHAnsi" w:cstheme="minorHAnsi"/>
              </w:rPr>
            </w:pPr>
            <w:r>
              <w:rPr>
                <w:rFonts w:asciiTheme="minorHAnsi" w:hAnsiTheme="minorHAnsi" w:cstheme="minorHAnsi"/>
              </w:rPr>
              <w:t>RCL</w:t>
            </w:r>
          </w:p>
        </w:tc>
        <w:tc>
          <w:tcPr>
            <w:tcW w:w="4746" w:type="dxa"/>
            <w:vAlign w:val="center"/>
          </w:tcPr>
          <w:p w14:paraId="5E3DB8E1" w14:textId="15EC9D53" w:rsidR="00DE7613" w:rsidRPr="00DE7613" w:rsidRDefault="00671CD8" w:rsidP="00843B4E">
            <w:pPr>
              <w:autoSpaceDE w:val="0"/>
              <w:autoSpaceDN w:val="0"/>
              <w:adjustRightInd w:val="0"/>
              <w:jc w:val="both"/>
              <w:rPr>
                <w:rFonts w:asciiTheme="minorHAnsi" w:hAnsiTheme="minorHAnsi" w:cstheme="minorHAnsi"/>
              </w:rPr>
            </w:pPr>
            <w:r>
              <w:rPr>
                <w:rFonts w:asciiTheme="minorHAnsi" w:hAnsiTheme="minorHAnsi" w:cstheme="minorHAnsi"/>
              </w:rPr>
              <w:t>P</w:t>
            </w:r>
            <w:r w:rsidR="00DE7613" w:rsidRPr="00DE7613">
              <w:rPr>
                <w:rFonts w:asciiTheme="minorHAnsi" w:hAnsiTheme="minorHAnsi" w:cstheme="minorHAnsi"/>
              </w:rPr>
              <w:t>rojekt rozporządzenia</w:t>
            </w:r>
            <w:r w:rsidR="00DE7613">
              <w:rPr>
                <w:rFonts w:asciiTheme="minorHAnsi" w:hAnsiTheme="minorHAnsi" w:cstheme="minorHAnsi"/>
              </w:rPr>
              <w:t xml:space="preserve"> </w:t>
            </w:r>
            <w:r w:rsidR="00DE7613" w:rsidRPr="00DE7613">
              <w:rPr>
                <w:rFonts w:asciiTheme="minorHAnsi" w:hAnsiTheme="minorHAnsi" w:cstheme="minorHAnsi"/>
              </w:rPr>
              <w:t>wymaga korekt legislacyjno-redakcyjnych</w:t>
            </w:r>
          </w:p>
        </w:tc>
        <w:tc>
          <w:tcPr>
            <w:tcW w:w="4521" w:type="dxa"/>
            <w:vAlign w:val="center"/>
          </w:tcPr>
          <w:p w14:paraId="7912934C" w14:textId="77777777" w:rsidR="00300676" w:rsidRDefault="00300676" w:rsidP="004303E7">
            <w:pPr>
              <w:widowControl w:val="0"/>
              <w:autoSpaceDE w:val="0"/>
              <w:autoSpaceDN w:val="0"/>
              <w:adjustRightInd w:val="0"/>
              <w:spacing w:before="120" w:after="120"/>
              <w:jc w:val="both"/>
              <w:rPr>
                <w:rFonts w:asciiTheme="minorHAnsi" w:hAnsiTheme="minorHAnsi" w:cstheme="minorHAnsi"/>
              </w:rPr>
            </w:pPr>
            <w:r>
              <w:rPr>
                <w:rFonts w:asciiTheme="minorHAnsi" w:hAnsiTheme="minorHAnsi" w:cstheme="minorHAnsi"/>
              </w:rPr>
              <w:t xml:space="preserve">Uwaga uwzględniona. </w:t>
            </w:r>
          </w:p>
          <w:p w14:paraId="00EA695B" w14:textId="4FBF4DA5" w:rsidR="00DE7613" w:rsidRPr="008B0B7C" w:rsidRDefault="002611B6" w:rsidP="004303E7">
            <w:pPr>
              <w:widowControl w:val="0"/>
              <w:autoSpaceDE w:val="0"/>
              <w:autoSpaceDN w:val="0"/>
              <w:adjustRightInd w:val="0"/>
              <w:spacing w:before="120" w:after="120"/>
              <w:jc w:val="both"/>
              <w:rPr>
                <w:rFonts w:asciiTheme="minorHAnsi" w:hAnsiTheme="minorHAnsi" w:cstheme="minorHAnsi"/>
              </w:rPr>
            </w:pPr>
            <w:r>
              <w:rPr>
                <w:rFonts w:asciiTheme="minorHAnsi" w:hAnsiTheme="minorHAnsi" w:cstheme="minorHAnsi"/>
              </w:rPr>
              <w:t xml:space="preserve">Wprowadzono korekty redakcyjne do projektu rozporządzenia, </w:t>
            </w:r>
            <w:r w:rsidR="004303E7">
              <w:rPr>
                <w:rFonts w:asciiTheme="minorHAnsi" w:hAnsiTheme="minorHAnsi" w:cstheme="minorHAnsi"/>
              </w:rPr>
              <w:t xml:space="preserve">OSR </w:t>
            </w:r>
            <w:r>
              <w:rPr>
                <w:rFonts w:asciiTheme="minorHAnsi" w:hAnsiTheme="minorHAnsi" w:cstheme="minorHAnsi"/>
              </w:rPr>
              <w:t>oraz uzasadniania.</w:t>
            </w:r>
          </w:p>
        </w:tc>
      </w:tr>
      <w:tr w:rsidR="004F5245" w:rsidRPr="00192EA5" w14:paraId="19AD71FC" w14:textId="77777777" w:rsidTr="00300676">
        <w:trPr>
          <w:trHeight w:val="1242"/>
          <w:jc w:val="center"/>
        </w:trPr>
        <w:tc>
          <w:tcPr>
            <w:tcW w:w="675" w:type="dxa"/>
            <w:vMerge w:val="restart"/>
            <w:vAlign w:val="center"/>
          </w:tcPr>
          <w:p w14:paraId="37DD5AA9" w14:textId="58A9BB13" w:rsidR="004F5245" w:rsidRPr="00212416" w:rsidRDefault="00671CD8" w:rsidP="00212416">
            <w:pPr>
              <w:rPr>
                <w:rFonts w:asciiTheme="minorHAnsi" w:hAnsiTheme="minorHAnsi" w:cstheme="minorHAnsi"/>
              </w:rPr>
            </w:pPr>
            <w:r>
              <w:rPr>
                <w:rFonts w:ascii="Calibri" w:hAnsi="Calibri" w:cs="Calibri"/>
                <w:color w:val="000000"/>
                <w:sz w:val="22"/>
                <w:szCs w:val="22"/>
              </w:rPr>
              <w:t>3</w:t>
            </w:r>
          </w:p>
        </w:tc>
        <w:tc>
          <w:tcPr>
            <w:tcW w:w="1560" w:type="dxa"/>
            <w:vMerge w:val="restart"/>
            <w:vAlign w:val="center"/>
          </w:tcPr>
          <w:p w14:paraId="03225E26" w14:textId="08506DDE" w:rsidR="004F5245" w:rsidRPr="008B0B7C" w:rsidRDefault="004F5245" w:rsidP="007269D4">
            <w:pPr>
              <w:pStyle w:val="Bezodstpw"/>
              <w:jc w:val="center"/>
              <w:rPr>
                <w:rFonts w:asciiTheme="minorHAnsi" w:hAnsiTheme="minorHAnsi" w:cstheme="minorHAnsi"/>
              </w:rPr>
            </w:pPr>
            <w:r w:rsidRPr="008B0B7C">
              <w:rPr>
                <w:rFonts w:asciiTheme="minorHAnsi" w:hAnsiTheme="minorHAnsi" w:cstheme="minorHAnsi"/>
              </w:rPr>
              <w:t>Rozporządzenie</w:t>
            </w:r>
          </w:p>
        </w:tc>
        <w:tc>
          <w:tcPr>
            <w:tcW w:w="1917" w:type="dxa"/>
            <w:vAlign w:val="center"/>
          </w:tcPr>
          <w:p w14:paraId="58828D61" w14:textId="2647207C" w:rsidR="004F5245" w:rsidRPr="008B0B7C" w:rsidRDefault="004F5245" w:rsidP="00616679">
            <w:pPr>
              <w:jc w:val="center"/>
              <w:rPr>
                <w:rFonts w:asciiTheme="minorHAnsi" w:hAnsiTheme="minorHAnsi" w:cstheme="minorHAnsi"/>
              </w:rPr>
            </w:pPr>
            <w:r>
              <w:rPr>
                <w:rFonts w:asciiTheme="minorHAnsi" w:hAnsiTheme="minorHAnsi" w:cstheme="minorHAnsi"/>
              </w:rPr>
              <w:t>MSZ</w:t>
            </w:r>
          </w:p>
        </w:tc>
        <w:tc>
          <w:tcPr>
            <w:tcW w:w="4746" w:type="dxa"/>
          </w:tcPr>
          <w:p w14:paraId="23769736" w14:textId="48A2D252" w:rsidR="004F5245" w:rsidRPr="008B0B7C" w:rsidRDefault="004F5245" w:rsidP="00500E74">
            <w:pPr>
              <w:autoSpaceDE w:val="0"/>
              <w:autoSpaceDN w:val="0"/>
              <w:adjustRightInd w:val="0"/>
              <w:jc w:val="both"/>
              <w:rPr>
                <w:rFonts w:asciiTheme="minorHAnsi" w:hAnsiTheme="minorHAnsi" w:cstheme="minorHAnsi"/>
              </w:rPr>
            </w:pPr>
            <w:r w:rsidRPr="00616679">
              <w:rPr>
                <w:rFonts w:asciiTheme="minorHAnsi" w:hAnsiTheme="minorHAnsi" w:cstheme="minorHAnsi"/>
              </w:rPr>
              <w:t xml:space="preserve">W związku z tym, że część wprowadzonych w rozporządzeniu wymogów (np. odbiór różnego rodzaju komunikatów, odbiór profilu zaawansowanego EPG, prawidłowa obsługa strumieni radiofonicznych zawierających treści dookólne, maskowanie błędów transmisji) nie wynika z przepisów dyrektywy </w:t>
            </w:r>
            <w:r w:rsidRPr="00616679">
              <w:rPr>
                <w:rFonts w:asciiTheme="minorHAnsi" w:hAnsiTheme="minorHAnsi" w:cstheme="minorHAnsi"/>
              </w:rPr>
              <w:lastRenderedPageBreak/>
              <w:t>2014/53/UE, jak również nie służy skutecznemu i efektywnemu wykorzystaniu widma radiowego, unikaniu szkodliwych zakłóceń lub zaburzeń elektromagnetycznych lub ochronie zdrowia publicznego, projekt rozporządzenia budzi wątpliwości pod kątem zgodności z prawem UE.</w:t>
            </w:r>
          </w:p>
        </w:tc>
        <w:tc>
          <w:tcPr>
            <w:tcW w:w="4521" w:type="dxa"/>
            <w:vMerge w:val="restart"/>
          </w:tcPr>
          <w:p w14:paraId="0D7C7976" w14:textId="77777777" w:rsidR="00F55103" w:rsidRDefault="00F443B3" w:rsidP="00B63F0F">
            <w:pPr>
              <w:widowControl w:val="0"/>
              <w:autoSpaceDE w:val="0"/>
              <w:autoSpaceDN w:val="0"/>
              <w:adjustRightInd w:val="0"/>
              <w:spacing w:before="120" w:after="120"/>
              <w:rPr>
                <w:rFonts w:asciiTheme="minorHAnsi" w:hAnsiTheme="minorHAnsi" w:cstheme="minorHAnsi"/>
              </w:rPr>
            </w:pPr>
            <w:r>
              <w:rPr>
                <w:rFonts w:asciiTheme="minorHAnsi" w:hAnsiTheme="minorHAnsi" w:cstheme="minorHAnsi"/>
              </w:rPr>
              <w:lastRenderedPageBreak/>
              <w:t>Uwaga nie</w:t>
            </w:r>
            <w:r w:rsidR="00EE18B5">
              <w:rPr>
                <w:rFonts w:asciiTheme="minorHAnsi" w:hAnsiTheme="minorHAnsi" w:cstheme="minorHAnsi"/>
              </w:rPr>
              <w:t>uwzględniona</w:t>
            </w:r>
            <w:r w:rsidR="00294802">
              <w:rPr>
                <w:rFonts w:asciiTheme="minorHAnsi" w:hAnsiTheme="minorHAnsi" w:cstheme="minorHAnsi"/>
              </w:rPr>
              <w:t>.</w:t>
            </w:r>
          </w:p>
          <w:p w14:paraId="12157B1B" w14:textId="7B4C5BAF" w:rsidR="00A31981" w:rsidRDefault="00294802" w:rsidP="00F55103">
            <w:pPr>
              <w:widowControl w:val="0"/>
              <w:autoSpaceDE w:val="0"/>
              <w:autoSpaceDN w:val="0"/>
              <w:adjustRightInd w:val="0"/>
              <w:spacing w:before="120" w:after="120"/>
              <w:jc w:val="both"/>
              <w:rPr>
                <w:rFonts w:asciiTheme="minorHAnsi" w:hAnsiTheme="minorHAnsi" w:cstheme="minorHAnsi"/>
              </w:rPr>
            </w:pPr>
            <w:r>
              <w:rPr>
                <w:rFonts w:asciiTheme="minorHAnsi" w:hAnsiTheme="minorHAnsi" w:cstheme="minorHAnsi"/>
              </w:rPr>
              <w:t>P</w:t>
            </w:r>
            <w:r w:rsidR="00EE18B5">
              <w:rPr>
                <w:rFonts w:asciiTheme="minorHAnsi" w:hAnsiTheme="minorHAnsi" w:cstheme="minorHAnsi"/>
              </w:rPr>
              <w:t xml:space="preserve">rojektowane rozporządzenie </w:t>
            </w:r>
            <w:r>
              <w:rPr>
                <w:rFonts w:asciiTheme="minorHAnsi" w:hAnsiTheme="minorHAnsi" w:cstheme="minorHAnsi"/>
              </w:rPr>
              <w:t xml:space="preserve">nie jest sprzeczne </w:t>
            </w:r>
            <w:r w:rsidR="00EE18B5">
              <w:rPr>
                <w:rFonts w:asciiTheme="minorHAnsi" w:hAnsiTheme="minorHAnsi" w:cstheme="minorHAnsi"/>
              </w:rPr>
              <w:t xml:space="preserve">z </w:t>
            </w:r>
            <w:r w:rsidR="00A67075">
              <w:rPr>
                <w:rFonts w:asciiTheme="minorHAnsi" w:hAnsiTheme="minorHAnsi" w:cstheme="minorHAnsi"/>
              </w:rPr>
              <w:t>dyrektywą, gdyż określa funkcjonalności odbiorników pozwalające na korzystanie z udogodnień określon</w:t>
            </w:r>
            <w:r w:rsidR="008631C6">
              <w:rPr>
                <w:rFonts w:asciiTheme="minorHAnsi" w:hAnsiTheme="minorHAnsi" w:cstheme="minorHAnsi"/>
              </w:rPr>
              <w:t>ych</w:t>
            </w:r>
            <w:r w:rsidR="00A67075">
              <w:rPr>
                <w:rFonts w:asciiTheme="minorHAnsi" w:hAnsiTheme="minorHAnsi" w:cstheme="minorHAnsi"/>
              </w:rPr>
              <w:t xml:space="preserve"> w standardzie nadawania</w:t>
            </w:r>
            <w:r w:rsidR="008E7DF6">
              <w:rPr>
                <w:rFonts w:asciiTheme="minorHAnsi" w:hAnsiTheme="minorHAnsi" w:cstheme="minorHAnsi"/>
              </w:rPr>
              <w:t xml:space="preserve"> w celu </w:t>
            </w:r>
            <w:r w:rsidR="008E7DF6">
              <w:rPr>
                <w:rFonts w:asciiTheme="minorHAnsi" w:hAnsiTheme="minorHAnsi" w:cstheme="minorHAnsi"/>
              </w:rPr>
              <w:lastRenderedPageBreak/>
              <w:t>efektywniejszego wykorzystania widma radiowego, unikania szkodliwych zakłóceń</w:t>
            </w:r>
            <w:r w:rsidR="008631C6">
              <w:rPr>
                <w:rFonts w:asciiTheme="minorHAnsi" w:hAnsiTheme="minorHAnsi" w:cstheme="minorHAnsi"/>
              </w:rPr>
              <w:t>,</w:t>
            </w:r>
            <w:r w:rsidR="008E7DF6">
              <w:rPr>
                <w:rFonts w:asciiTheme="minorHAnsi" w:hAnsiTheme="minorHAnsi" w:cstheme="minorHAnsi"/>
              </w:rPr>
              <w:t xml:space="preserve"> a także pozwala na zwiększenie ochrony zdrowia publicznego</w:t>
            </w:r>
            <w:r w:rsidR="00A67075">
              <w:rPr>
                <w:rFonts w:asciiTheme="minorHAnsi" w:hAnsiTheme="minorHAnsi" w:cstheme="minorHAnsi"/>
              </w:rPr>
              <w:t xml:space="preserve">. Należy zaznaczyć, że </w:t>
            </w:r>
            <w:r w:rsidR="00192223">
              <w:rPr>
                <w:rFonts w:asciiTheme="minorHAnsi" w:hAnsiTheme="minorHAnsi" w:cstheme="minorHAnsi"/>
              </w:rPr>
              <w:t>projektowane rozporządzenie wprowadza funkcjonalności odbiorników pozwalających na odbiór cyfrowej</w:t>
            </w:r>
            <w:r w:rsidR="008E7DF6">
              <w:rPr>
                <w:rFonts w:asciiTheme="minorHAnsi" w:hAnsiTheme="minorHAnsi" w:cstheme="minorHAnsi"/>
              </w:rPr>
              <w:t xml:space="preserve"> radiofonii DAB+</w:t>
            </w:r>
            <w:r w:rsidR="008631C6">
              <w:rPr>
                <w:rFonts w:asciiTheme="minorHAnsi" w:hAnsiTheme="minorHAnsi" w:cstheme="minorHAnsi"/>
              </w:rPr>
              <w:t xml:space="preserve">, </w:t>
            </w:r>
            <w:r w:rsidR="00661485">
              <w:rPr>
                <w:rFonts w:asciiTheme="minorHAnsi" w:hAnsiTheme="minorHAnsi" w:cstheme="minorHAnsi"/>
              </w:rPr>
              <w:t>a nie standardu nadawania DAB+.</w:t>
            </w:r>
          </w:p>
          <w:p w14:paraId="65D52F71" w14:textId="5AC089AC" w:rsidR="00F52959" w:rsidRPr="00A67618" w:rsidRDefault="00F52959" w:rsidP="00A67618">
            <w:pPr>
              <w:widowControl w:val="0"/>
              <w:autoSpaceDE w:val="0"/>
              <w:autoSpaceDN w:val="0"/>
              <w:adjustRightInd w:val="0"/>
              <w:spacing w:before="120" w:after="120"/>
              <w:jc w:val="both"/>
              <w:rPr>
                <w:rFonts w:asciiTheme="minorHAnsi" w:hAnsiTheme="minorHAnsi" w:cstheme="minorHAnsi"/>
              </w:rPr>
            </w:pPr>
            <w:r w:rsidRPr="00A67618">
              <w:rPr>
                <w:rFonts w:asciiTheme="minorHAnsi" w:hAnsiTheme="minorHAnsi" w:cstheme="minorHAnsi"/>
              </w:rPr>
              <w:t xml:space="preserve">Dyrektywa Parlamentu Europejskiego i Rady 2014/53/UE z dnia 16 kwietnia 2014 r. wprowadza ogólne wymagania </w:t>
            </w:r>
            <w:r w:rsidR="00294802" w:rsidRPr="00A67618">
              <w:rPr>
                <w:rFonts w:asciiTheme="minorHAnsi" w:hAnsiTheme="minorHAnsi" w:cstheme="minorHAnsi"/>
              </w:rPr>
              <w:t>dla</w:t>
            </w:r>
            <w:r w:rsidRPr="00A67618">
              <w:rPr>
                <w:rFonts w:asciiTheme="minorHAnsi" w:hAnsiTheme="minorHAnsi" w:cstheme="minorHAnsi"/>
              </w:rPr>
              <w:t xml:space="preserve"> odbiornik</w:t>
            </w:r>
            <w:r w:rsidR="00294802" w:rsidRPr="00A67618">
              <w:rPr>
                <w:rFonts w:asciiTheme="minorHAnsi" w:hAnsiTheme="minorHAnsi" w:cstheme="minorHAnsi"/>
              </w:rPr>
              <w:t>ów</w:t>
            </w:r>
            <w:r w:rsidRPr="00A67618">
              <w:rPr>
                <w:rFonts w:asciiTheme="minorHAnsi" w:hAnsiTheme="minorHAnsi" w:cstheme="minorHAnsi"/>
              </w:rPr>
              <w:t>, które muszą być zachowane przez wszystkie urządzenia służące do odbioru, nie definiuje natomiast szczegółowych wymagań technicznych takich jak np. rodzaj kodeka dźwięku (tj. HE AACv2) stosowany w odbiorze, które mają decydujący wpływ na efektywność wykorzystania widma radiowego w Polsce i dlatego konieczne są dodatkowe regulacje tj. rozporządzenie uściślające wymagania techniczne gwarantujące zapewnienie efektywnego wykorzystania widma radiowego czy realizację określonych usług istotnych z punktu widzenia zapewnienia bezpieczeństwa i zdrowia obywateli, które wynikają ze zdefiniowanych w rozporządzeniu wymaganych usług.</w:t>
            </w:r>
          </w:p>
          <w:p w14:paraId="26C4CD2C" w14:textId="77777777" w:rsidR="00A67618" w:rsidRPr="00A67618" w:rsidRDefault="000D7CFF" w:rsidP="00A67618">
            <w:pPr>
              <w:jc w:val="both"/>
              <w:rPr>
                <w:rFonts w:ascii="Calibri" w:eastAsia="Calibri" w:hAnsi="Calibri"/>
                <w:lang w:eastAsia="en-US"/>
              </w:rPr>
            </w:pPr>
            <w:r w:rsidRPr="00A67618">
              <w:rPr>
                <w:rFonts w:asciiTheme="minorHAnsi" w:hAnsiTheme="minorHAnsi" w:cstheme="minorHAnsi"/>
              </w:rPr>
              <w:t xml:space="preserve">Funkcjonalności i parametry odbiorników wręcz przyczyniają się do spełnienia celów niniejszej dyrektywy </w:t>
            </w:r>
            <w:r w:rsidR="00A67618" w:rsidRPr="00A67618">
              <w:rPr>
                <w:rFonts w:ascii="Calibri" w:eastAsia="Calibri" w:hAnsi="Calibri"/>
                <w:lang w:eastAsia="en-US"/>
              </w:rPr>
              <w:t>w następujący sposób:</w:t>
            </w:r>
          </w:p>
          <w:p w14:paraId="66FFD1B8" w14:textId="77777777" w:rsidR="00A67618" w:rsidRPr="00A67618" w:rsidRDefault="00A67618" w:rsidP="00A67618">
            <w:pPr>
              <w:spacing w:line="256" w:lineRule="auto"/>
              <w:jc w:val="both"/>
              <w:rPr>
                <w:rFonts w:ascii="Calibri" w:eastAsia="Calibri" w:hAnsi="Calibri"/>
                <w:lang w:eastAsia="en-US"/>
              </w:rPr>
            </w:pPr>
            <w:r w:rsidRPr="00A67618">
              <w:rPr>
                <w:rFonts w:ascii="Calibri" w:eastAsia="Calibri" w:hAnsi="Calibri"/>
                <w:lang w:eastAsia="en-US"/>
              </w:rPr>
              <w:t xml:space="preserve">Punkt 10 projektu w odniesieniu do art. 3 ust. 2 dyrektywy – parametry odbiornika chronią go przed ryzykiem szkodliwych zakłóceń, zwłaszcza pochodzących ze współdzielonych lub sąsiadujących kanałów, a jednocześnie przyczyniają się do udoskonalania efektywnego wykorzystania współdzielonych lub sąsiadujących kanałów, co realizuje funkcjonalność maskowania błędów </w:t>
            </w:r>
            <w:r w:rsidRPr="00A67618">
              <w:rPr>
                <w:rFonts w:ascii="Calibri" w:eastAsia="Calibri" w:hAnsi="Calibri"/>
                <w:lang w:eastAsia="en-US"/>
              </w:rPr>
              <w:lastRenderedPageBreak/>
              <w:t>transmisji wprowadzana w punkcie 8.2 projektu rozporządzenia.</w:t>
            </w:r>
          </w:p>
          <w:p w14:paraId="7F1D7DA5" w14:textId="77777777" w:rsidR="00A67618" w:rsidRPr="00A67618" w:rsidRDefault="00A67618" w:rsidP="00A67618">
            <w:pPr>
              <w:spacing w:line="256" w:lineRule="auto"/>
              <w:jc w:val="both"/>
              <w:rPr>
                <w:rFonts w:ascii="Calibri" w:eastAsia="Calibri" w:hAnsi="Calibri"/>
                <w:lang w:eastAsia="en-US"/>
              </w:rPr>
            </w:pPr>
            <w:r w:rsidRPr="00A67618">
              <w:rPr>
                <w:rFonts w:ascii="Calibri" w:eastAsia="Calibri" w:hAnsi="Calibri"/>
                <w:lang w:eastAsia="en-US"/>
              </w:rPr>
              <w:t>Punkt 11 projektu w odniesieniu do art. 3 ust. 2 dyrektywy - prowadzi do efektywnego wykorzystania widma radiowego poprzez zwiększoną odporność odbiorników na szkodliwe zakłócenia, co realizuje funkcjonalność maskowania błędów transmisji wprowadzana w punkcie 8.2 projektu rozporządzenia oraz wymagania selektywności i czułości odbiornika zdefiniowane w punkcie 11 projektu rozporządzenia.</w:t>
            </w:r>
          </w:p>
          <w:p w14:paraId="296A222C" w14:textId="77777777" w:rsidR="00A67618" w:rsidRPr="00A67618" w:rsidRDefault="00A67618" w:rsidP="00A67618">
            <w:pPr>
              <w:spacing w:line="256" w:lineRule="auto"/>
              <w:jc w:val="both"/>
              <w:rPr>
                <w:rFonts w:ascii="Calibri" w:eastAsia="Calibri" w:hAnsi="Calibri"/>
                <w:lang w:eastAsia="en-US"/>
              </w:rPr>
            </w:pPr>
            <w:r w:rsidRPr="00A67618">
              <w:rPr>
                <w:rFonts w:ascii="Calibri" w:eastAsia="Calibri" w:hAnsi="Calibri"/>
                <w:lang w:eastAsia="en-US"/>
              </w:rPr>
              <w:t>Punkt 12 projektu w odniesieniu do art. 3 ust. 3 punkty b i c dyrektywy - zapewnia współdziałanie z innymi urządzeniami radiowymi (odbiornikami), co realizuje  Adapter – odbiornik cyfrowy DAB+ przetwarzający sygnał DAB+ na UKF FM, Bluetooth, wyposażony w wyjście audio AUX lub inne rozwiązania techniczne zapewniające interoperacyjność między urządzeniami radiowymi i akcesoriami.</w:t>
            </w:r>
          </w:p>
          <w:p w14:paraId="67ADB5F1" w14:textId="77777777" w:rsidR="00A67618" w:rsidRPr="00A67618" w:rsidRDefault="00A67618" w:rsidP="00A67618">
            <w:pPr>
              <w:spacing w:line="256" w:lineRule="auto"/>
              <w:jc w:val="both"/>
              <w:rPr>
                <w:rFonts w:ascii="Calibri" w:eastAsia="Calibri" w:hAnsi="Calibri"/>
                <w:lang w:eastAsia="en-US"/>
              </w:rPr>
            </w:pPr>
            <w:r w:rsidRPr="00A67618">
              <w:rPr>
                <w:rFonts w:ascii="Calibri" w:eastAsia="Calibri" w:hAnsi="Calibri"/>
                <w:lang w:eastAsia="en-US"/>
              </w:rPr>
              <w:t xml:space="preserve">Ponadto projekt rozporządzenia zapewnia zgodność wprowadzanych na rynek Unii urządzeń radiowych z państw trzecich, gdyż uwzględnia zalecenia Digital Radio </w:t>
            </w:r>
            <w:proofErr w:type="spellStart"/>
            <w:r w:rsidRPr="00A67618">
              <w:rPr>
                <w:rFonts w:ascii="Calibri" w:eastAsia="Calibri" w:hAnsi="Calibri"/>
                <w:lang w:eastAsia="en-US"/>
              </w:rPr>
              <w:t>Receiver</w:t>
            </w:r>
            <w:proofErr w:type="spellEnd"/>
            <w:r w:rsidRPr="00A67618">
              <w:rPr>
                <w:rFonts w:ascii="Calibri" w:eastAsia="Calibri" w:hAnsi="Calibri"/>
                <w:lang w:eastAsia="en-US"/>
              </w:rPr>
              <w:t xml:space="preserve"> </w:t>
            </w:r>
            <w:proofErr w:type="spellStart"/>
            <w:r w:rsidRPr="00A67618">
              <w:rPr>
                <w:rFonts w:ascii="Calibri" w:eastAsia="Calibri" w:hAnsi="Calibri"/>
                <w:lang w:eastAsia="en-US"/>
              </w:rPr>
              <w:t>Profiles</w:t>
            </w:r>
            <w:proofErr w:type="spellEnd"/>
            <w:r w:rsidRPr="00A67618">
              <w:rPr>
                <w:rFonts w:ascii="Calibri" w:eastAsia="Calibri" w:hAnsi="Calibri"/>
                <w:lang w:eastAsia="en-US"/>
              </w:rPr>
              <w:t xml:space="preserve"> wydane przez  </w:t>
            </w:r>
            <w:proofErr w:type="spellStart"/>
            <w:r w:rsidRPr="00A67618">
              <w:rPr>
                <w:rFonts w:ascii="Calibri" w:eastAsia="Calibri" w:hAnsi="Calibri"/>
                <w:lang w:eastAsia="en-US"/>
              </w:rPr>
              <w:t>WorldDAB</w:t>
            </w:r>
            <w:proofErr w:type="spellEnd"/>
            <w:r w:rsidRPr="00A67618">
              <w:rPr>
                <w:rFonts w:ascii="Calibri" w:eastAsia="Calibri" w:hAnsi="Calibri"/>
                <w:lang w:eastAsia="en-US"/>
              </w:rPr>
              <w:t xml:space="preserve"> Forum 2016, którego członkami są także nadawcy z krajów Unii Europejskiej.</w:t>
            </w:r>
          </w:p>
          <w:p w14:paraId="0BA02BCB" w14:textId="675BF6D3" w:rsidR="00F443B3" w:rsidRPr="008B57F5" w:rsidRDefault="00A67618" w:rsidP="008B57F5">
            <w:pPr>
              <w:spacing w:after="160" w:line="256" w:lineRule="auto"/>
              <w:jc w:val="both"/>
              <w:rPr>
                <w:rFonts w:ascii="Calibri" w:eastAsia="Calibri" w:hAnsi="Calibri"/>
                <w:sz w:val="22"/>
                <w:szCs w:val="22"/>
                <w:lang w:eastAsia="en-US"/>
              </w:rPr>
            </w:pPr>
            <w:r w:rsidRPr="00A67618">
              <w:rPr>
                <w:rFonts w:ascii="Calibri" w:eastAsia="Calibri" w:hAnsi="Calibri"/>
                <w:lang w:eastAsia="en-US"/>
              </w:rPr>
              <w:t xml:space="preserve">Przewidziane projektem wymagania również pośrednio przyczyniają się do ochrony bezpieczeństwa i ochrony zdrowia publicznego poprzez wykorzystania wymaganych funkcji dodatkowych tj. </w:t>
            </w:r>
            <w:proofErr w:type="spellStart"/>
            <w:r w:rsidRPr="00A67618">
              <w:rPr>
                <w:rFonts w:ascii="Calibri" w:eastAsia="Calibri" w:hAnsi="Calibri"/>
                <w:lang w:eastAsia="en-US"/>
              </w:rPr>
              <w:t>announcement</w:t>
            </w:r>
            <w:proofErr w:type="spellEnd"/>
            <w:r w:rsidRPr="00A67618">
              <w:rPr>
                <w:rFonts w:ascii="Calibri" w:eastAsia="Calibri" w:hAnsi="Calibri"/>
                <w:lang w:eastAsia="en-US"/>
              </w:rPr>
              <w:t>” (ogłoszeń) dla potrzeb powiadamiania kryzysowego ludności np. o zagrożeniach, awariach, skażeniach itp.</w:t>
            </w:r>
          </w:p>
        </w:tc>
      </w:tr>
      <w:tr w:rsidR="004F5245" w:rsidRPr="00192EA5" w14:paraId="1732EA04" w14:textId="77777777" w:rsidTr="00671CD8">
        <w:trPr>
          <w:trHeight w:val="1965"/>
          <w:jc w:val="center"/>
        </w:trPr>
        <w:tc>
          <w:tcPr>
            <w:tcW w:w="675" w:type="dxa"/>
            <w:vMerge/>
            <w:vAlign w:val="bottom"/>
          </w:tcPr>
          <w:p w14:paraId="2150351F" w14:textId="6095D63C" w:rsidR="004F5245" w:rsidRDefault="004F5245" w:rsidP="00212416">
            <w:pPr>
              <w:rPr>
                <w:rFonts w:ascii="Calibri" w:hAnsi="Calibri" w:cs="Calibri"/>
                <w:color w:val="000000"/>
                <w:sz w:val="22"/>
                <w:szCs w:val="22"/>
              </w:rPr>
            </w:pPr>
          </w:p>
        </w:tc>
        <w:tc>
          <w:tcPr>
            <w:tcW w:w="1560" w:type="dxa"/>
            <w:vMerge/>
            <w:vAlign w:val="center"/>
          </w:tcPr>
          <w:p w14:paraId="1D129B04" w14:textId="77777777" w:rsidR="004F5245" w:rsidRPr="008B0B7C" w:rsidRDefault="004F5245" w:rsidP="007269D4">
            <w:pPr>
              <w:pStyle w:val="Bezodstpw"/>
              <w:jc w:val="center"/>
              <w:rPr>
                <w:rFonts w:asciiTheme="minorHAnsi" w:hAnsiTheme="minorHAnsi" w:cstheme="minorHAnsi"/>
              </w:rPr>
            </w:pPr>
          </w:p>
        </w:tc>
        <w:tc>
          <w:tcPr>
            <w:tcW w:w="1917" w:type="dxa"/>
            <w:vAlign w:val="center"/>
          </w:tcPr>
          <w:p w14:paraId="6DD19722" w14:textId="296B726D" w:rsidR="004F5245" w:rsidRDefault="004F5245" w:rsidP="00616679">
            <w:pPr>
              <w:jc w:val="center"/>
              <w:rPr>
                <w:rFonts w:asciiTheme="minorHAnsi" w:hAnsiTheme="minorHAnsi" w:cstheme="minorHAnsi"/>
              </w:rPr>
            </w:pPr>
            <w:r>
              <w:rPr>
                <w:rFonts w:asciiTheme="minorHAnsi" w:hAnsiTheme="minorHAnsi" w:cstheme="minorHAnsi"/>
              </w:rPr>
              <w:t>RCL</w:t>
            </w:r>
          </w:p>
        </w:tc>
        <w:tc>
          <w:tcPr>
            <w:tcW w:w="4746" w:type="dxa"/>
          </w:tcPr>
          <w:p w14:paraId="7D3A9228" w14:textId="0161FED1" w:rsidR="004F5245" w:rsidRPr="002678DB" w:rsidRDefault="004F5245" w:rsidP="004F5245">
            <w:pPr>
              <w:autoSpaceDE w:val="0"/>
              <w:autoSpaceDN w:val="0"/>
              <w:adjustRightInd w:val="0"/>
              <w:jc w:val="both"/>
              <w:rPr>
                <w:rFonts w:asciiTheme="minorHAnsi" w:hAnsiTheme="minorHAnsi" w:cstheme="minorHAnsi"/>
              </w:rPr>
            </w:pPr>
            <w:r w:rsidRPr="002678DB">
              <w:rPr>
                <w:rFonts w:asciiTheme="minorHAnsi" w:hAnsiTheme="minorHAnsi" w:cstheme="minorHAnsi"/>
              </w:rPr>
              <w:t xml:space="preserve">Z uwagi na fakt, że przepisy prawa krajowego powinny być przede wszystkim zgodne z prawem Unii Europejskiej, na gruncie którego funkcjonuje już dyrektywa Parlamentu Europejskiego i Rady 2014/53/UE z dnia 16 kwietnia 2014 r. w sprawie harmonizacji ustawodawstw państw członkowskich dotyczących udostępniania na rynku urządzeń radiowych i uchylająca dyrektywę 1999/5/WE (Dz. Urz. UE L 153 z 22.05.2014, str. 62, z </w:t>
            </w:r>
            <w:proofErr w:type="spellStart"/>
            <w:r w:rsidRPr="002678DB">
              <w:rPr>
                <w:rFonts w:asciiTheme="minorHAnsi" w:hAnsiTheme="minorHAnsi" w:cstheme="minorHAnsi"/>
              </w:rPr>
              <w:t>późn</w:t>
            </w:r>
            <w:proofErr w:type="spellEnd"/>
            <w:r w:rsidRPr="002678DB">
              <w:rPr>
                <w:rFonts w:asciiTheme="minorHAnsi" w:hAnsiTheme="minorHAnsi" w:cstheme="minorHAnsi"/>
              </w:rPr>
              <w:t>. zm.), zawierająca w swojej treści wymagania dotyczące np. konstruowania urządzeń radiowych, analizy wymaga, czy przepisy projektowanego rozporządzenia pozostają w zgodzie z ww. regulacją unijną. Nota bene zauważenia wymaga, że ww. dyrektywa została wdrożona w ustawie – Prawo telekomunikacyjne (m.in. w art. 153) określającym wymagania dla urządzeń radiowych wprowadzanych do obrotu lub oddawanych do użytku.</w:t>
            </w:r>
          </w:p>
          <w:p w14:paraId="1C9FD36A" w14:textId="0AF84C18" w:rsidR="004F5245" w:rsidRPr="00616679" w:rsidRDefault="004F5245" w:rsidP="00B63F0F">
            <w:pPr>
              <w:autoSpaceDE w:val="0"/>
              <w:autoSpaceDN w:val="0"/>
              <w:adjustRightInd w:val="0"/>
              <w:jc w:val="both"/>
              <w:rPr>
                <w:rFonts w:asciiTheme="minorHAnsi" w:hAnsiTheme="minorHAnsi" w:cstheme="minorHAnsi"/>
              </w:rPr>
            </w:pPr>
            <w:r w:rsidRPr="002678DB">
              <w:rPr>
                <w:rFonts w:asciiTheme="minorHAnsi" w:hAnsiTheme="minorHAnsi" w:cstheme="minorHAnsi"/>
              </w:rPr>
              <w:t>Wyjaśnienia wymaga relacja ww. wymagań dla urządzeń radiowych do wymagań technicznych i eksploatacyjnych dla urządzeń konsumenckich służących do odbioru</w:t>
            </w:r>
            <w:r w:rsidR="00B63F0F" w:rsidRPr="002678DB">
              <w:rPr>
                <w:rFonts w:asciiTheme="minorHAnsi" w:hAnsiTheme="minorHAnsi" w:cstheme="minorHAnsi"/>
              </w:rPr>
              <w:t xml:space="preserve"> </w:t>
            </w:r>
            <w:r w:rsidRPr="002678DB">
              <w:rPr>
                <w:rFonts w:asciiTheme="minorHAnsi" w:hAnsiTheme="minorHAnsi" w:cstheme="minorHAnsi"/>
              </w:rPr>
              <w:t>cyfrowych transmisji radiofonicznych.</w:t>
            </w:r>
          </w:p>
        </w:tc>
        <w:tc>
          <w:tcPr>
            <w:tcW w:w="4521" w:type="dxa"/>
            <w:vMerge/>
            <w:vAlign w:val="center"/>
          </w:tcPr>
          <w:p w14:paraId="3A7E37E4" w14:textId="77777777" w:rsidR="004F5245" w:rsidRPr="008B0B7C" w:rsidRDefault="004F5245" w:rsidP="009F34B5">
            <w:pPr>
              <w:widowControl w:val="0"/>
              <w:autoSpaceDE w:val="0"/>
              <w:autoSpaceDN w:val="0"/>
              <w:adjustRightInd w:val="0"/>
              <w:spacing w:before="120" w:after="120"/>
              <w:jc w:val="both"/>
              <w:rPr>
                <w:rFonts w:asciiTheme="minorHAnsi" w:hAnsiTheme="minorHAnsi" w:cstheme="minorHAnsi"/>
              </w:rPr>
            </w:pPr>
          </w:p>
        </w:tc>
      </w:tr>
      <w:tr w:rsidR="004F5245" w:rsidRPr="00192EA5" w14:paraId="5D77F7A3" w14:textId="77777777" w:rsidTr="00300676">
        <w:trPr>
          <w:jc w:val="center"/>
        </w:trPr>
        <w:tc>
          <w:tcPr>
            <w:tcW w:w="675" w:type="dxa"/>
            <w:vAlign w:val="center"/>
          </w:tcPr>
          <w:p w14:paraId="1C102E16" w14:textId="29237DEE" w:rsidR="004F5245" w:rsidRDefault="00671CD8" w:rsidP="00212416">
            <w:pPr>
              <w:rPr>
                <w:rFonts w:ascii="Calibri" w:hAnsi="Calibri" w:cs="Calibri"/>
                <w:color w:val="000000"/>
                <w:sz w:val="22"/>
                <w:szCs w:val="22"/>
              </w:rPr>
            </w:pPr>
            <w:r>
              <w:rPr>
                <w:rFonts w:ascii="Calibri" w:hAnsi="Calibri" w:cs="Calibri"/>
                <w:color w:val="000000"/>
                <w:sz w:val="22"/>
                <w:szCs w:val="22"/>
              </w:rPr>
              <w:lastRenderedPageBreak/>
              <w:t>4</w:t>
            </w:r>
          </w:p>
        </w:tc>
        <w:tc>
          <w:tcPr>
            <w:tcW w:w="1560" w:type="dxa"/>
            <w:vAlign w:val="center"/>
          </w:tcPr>
          <w:p w14:paraId="33C4C74D" w14:textId="5E640892" w:rsidR="004F5245" w:rsidRPr="008B0B7C" w:rsidRDefault="004F5245" w:rsidP="007269D4">
            <w:pPr>
              <w:pStyle w:val="Bezodstpw"/>
              <w:jc w:val="center"/>
              <w:rPr>
                <w:rFonts w:asciiTheme="minorHAnsi" w:hAnsiTheme="minorHAnsi" w:cstheme="minorHAnsi"/>
              </w:rPr>
            </w:pPr>
            <w:r>
              <w:rPr>
                <w:rFonts w:asciiTheme="minorHAnsi" w:hAnsiTheme="minorHAnsi" w:cstheme="minorHAnsi"/>
              </w:rPr>
              <w:t>Rozporządzenie</w:t>
            </w:r>
          </w:p>
        </w:tc>
        <w:tc>
          <w:tcPr>
            <w:tcW w:w="1917" w:type="dxa"/>
            <w:vAlign w:val="center"/>
          </w:tcPr>
          <w:p w14:paraId="1F1EAF7D" w14:textId="3EA9B982" w:rsidR="004F5245" w:rsidRDefault="004F5245" w:rsidP="00616679">
            <w:pPr>
              <w:jc w:val="center"/>
              <w:rPr>
                <w:rFonts w:asciiTheme="minorHAnsi" w:hAnsiTheme="minorHAnsi" w:cstheme="minorHAnsi"/>
              </w:rPr>
            </w:pPr>
            <w:r>
              <w:rPr>
                <w:rFonts w:asciiTheme="minorHAnsi" w:hAnsiTheme="minorHAnsi" w:cstheme="minorHAnsi"/>
              </w:rPr>
              <w:t>RCL</w:t>
            </w:r>
          </w:p>
        </w:tc>
        <w:tc>
          <w:tcPr>
            <w:tcW w:w="4746" w:type="dxa"/>
            <w:vAlign w:val="center"/>
          </w:tcPr>
          <w:p w14:paraId="773F1211" w14:textId="2637656D" w:rsidR="004F5245" w:rsidRPr="00616679" w:rsidRDefault="004F5245" w:rsidP="00CE6CFB">
            <w:pPr>
              <w:autoSpaceDE w:val="0"/>
              <w:autoSpaceDN w:val="0"/>
              <w:adjustRightInd w:val="0"/>
              <w:jc w:val="both"/>
              <w:rPr>
                <w:rFonts w:asciiTheme="minorHAnsi" w:hAnsiTheme="minorHAnsi" w:cstheme="minorHAnsi"/>
              </w:rPr>
            </w:pPr>
            <w:r w:rsidRPr="004F5245">
              <w:rPr>
                <w:rFonts w:asciiTheme="minorHAnsi" w:hAnsiTheme="minorHAnsi" w:cstheme="minorHAnsi"/>
              </w:rPr>
              <w:t>Konieczna – w kontekście pełnego zrealizowania upoważnienia ustawowego – jest</w:t>
            </w:r>
            <w:r>
              <w:rPr>
                <w:rFonts w:asciiTheme="minorHAnsi" w:hAnsiTheme="minorHAnsi" w:cstheme="minorHAnsi"/>
              </w:rPr>
              <w:t xml:space="preserve"> </w:t>
            </w:r>
            <w:r w:rsidR="00D756C7">
              <w:rPr>
                <w:rFonts w:asciiTheme="minorHAnsi" w:hAnsiTheme="minorHAnsi" w:cstheme="minorHAnsi"/>
              </w:rPr>
              <w:t>odpowiedź</w:t>
            </w:r>
            <w:r w:rsidRPr="004F5245">
              <w:rPr>
                <w:rFonts w:asciiTheme="minorHAnsi" w:hAnsiTheme="minorHAnsi" w:cstheme="minorHAnsi"/>
              </w:rPr>
              <w:t xml:space="preserve"> na pytanie, czy projektowane rozporządzenie powinno regulować również</w:t>
            </w:r>
            <w:r>
              <w:rPr>
                <w:rFonts w:asciiTheme="minorHAnsi" w:hAnsiTheme="minorHAnsi" w:cstheme="minorHAnsi"/>
              </w:rPr>
              <w:t xml:space="preserve"> </w:t>
            </w:r>
            <w:r w:rsidRPr="004F5245">
              <w:rPr>
                <w:rFonts w:asciiTheme="minorHAnsi" w:hAnsiTheme="minorHAnsi" w:cstheme="minorHAnsi"/>
              </w:rPr>
              <w:t>wymagania techniczne i eksploatacyjne związane z systemem dostępu warunkowego,</w:t>
            </w:r>
            <w:r>
              <w:rPr>
                <w:rFonts w:asciiTheme="minorHAnsi" w:hAnsiTheme="minorHAnsi" w:cstheme="minorHAnsi"/>
              </w:rPr>
              <w:t xml:space="preserve"> </w:t>
            </w:r>
            <w:r w:rsidRPr="004F5245">
              <w:rPr>
                <w:rFonts w:asciiTheme="minorHAnsi" w:hAnsiTheme="minorHAnsi" w:cstheme="minorHAnsi"/>
              </w:rPr>
              <w:t>umożliwiającego dostęp do zrozumiałej formy zabezpieczonych transmisji radiowych</w:t>
            </w:r>
            <w:r>
              <w:rPr>
                <w:rFonts w:asciiTheme="minorHAnsi" w:hAnsiTheme="minorHAnsi" w:cstheme="minorHAnsi"/>
              </w:rPr>
              <w:t xml:space="preserve"> </w:t>
            </w:r>
            <w:r w:rsidRPr="004F5245">
              <w:rPr>
                <w:rFonts w:asciiTheme="minorHAnsi" w:hAnsiTheme="minorHAnsi" w:cstheme="minorHAnsi"/>
              </w:rPr>
              <w:t>uwarunkowany posiadaniem abonamentu lub uprzednio uzyskanego indywidualnego</w:t>
            </w:r>
            <w:r>
              <w:rPr>
                <w:rFonts w:asciiTheme="minorHAnsi" w:hAnsiTheme="minorHAnsi" w:cstheme="minorHAnsi"/>
              </w:rPr>
              <w:t xml:space="preserve"> </w:t>
            </w:r>
            <w:r w:rsidRPr="004F5245">
              <w:rPr>
                <w:rFonts w:asciiTheme="minorHAnsi" w:hAnsiTheme="minorHAnsi" w:cstheme="minorHAnsi"/>
              </w:rPr>
              <w:t>zezwolenia. Z uzasadnienia projektowanej regulacji wynika bowiem, że Wnioskodawca</w:t>
            </w:r>
            <w:r>
              <w:rPr>
                <w:rFonts w:asciiTheme="minorHAnsi" w:hAnsiTheme="minorHAnsi" w:cstheme="minorHAnsi"/>
              </w:rPr>
              <w:t xml:space="preserve"> </w:t>
            </w:r>
            <w:r w:rsidRPr="004F5245">
              <w:rPr>
                <w:rFonts w:asciiTheme="minorHAnsi" w:hAnsiTheme="minorHAnsi" w:cstheme="minorHAnsi"/>
              </w:rPr>
              <w:t>rezygnuje z określania wymagań na dostęp warunkowy, z uwagi na fakt, że nie stosuje się go</w:t>
            </w:r>
            <w:r w:rsidR="00CE6CFB">
              <w:rPr>
                <w:rFonts w:asciiTheme="minorHAnsi" w:hAnsiTheme="minorHAnsi" w:cstheme="minorHAnsi"/>
              </w:rPr>
              <w:t xml:space="preserve"> </w:t>
            </w:r>
            <w:r w:rsidRPr="004F5245">
              <w:rPr>
                <w:rFonts w:asciiTheme="minorHAnsi" w:hAnsiTheme="minorHAnsi" w:cstheme="minorHAnsi"/>
              </w:rPr>
              <w:t>w bezpłatnej radiofonii naziemnej.</w:t>
            </w:r>
          </w:p>
        </w:tc>
        <w:tc>
          <w:tcPr>
            <w:tcW w:w="4521" w:type="dxa"/>
            <w:vAlign w:val="center"/>
          </w:tcPr>
          <w:p w14:paraId="20D7DF16" w14:textId="149617AD" w:rsidR="00F05727" w:rsidRDefault="00F05727" w:rsidP="003D7115">
            <w:pPr>
              <w:widowControl w:val="0"/>
              <w:autoSpaceDE w:val="0"/>
              <w:autoSpaceDN w:val="0"/>
              <w:adjustRightInd w:val="0"/>
              <w:spacing w:before="120" w:after="120"/>
              <w:jc w:val="both"/>
              <w:rPr>
                <w:rFonts w:asciiTheme="minorHAnsi" w:hAnsiTheme="minorHAnsi" w:cstheme="minorHAnsi"/>
              </w:rPr>
            </w:pPr>
            <w:r>
              <w:rPr>
                <w:rFonts w:asciiTheme="minorHAnsi" w:hAnsiTheme="minorHAnsi" w:cstheme="minorHAnsi"/>
              </w:rPr>
              <w:t>Uwaga wyjaśniona</w:t>
            </w:r>
          </w:p>
          <w:p w14:paraId="49A51734" w14:textId="2241D118" w:rsidR="00415B6F" w:rsidRPr="008B0B7C" w:rsidRDefault="000A5218" w:rsidP="003D7115">
            <w:pPr>
              <w:widowControl w:val="0"/>
              <w:autoSpaceDE w:val="0"/>
              <w:autoSpaceDN w:val="0"/>
              <w:adjustRightInd w:val="0"/>
              <w:spacing w:before="120" w:after="120"/>
              <w:jc w:val="both"/>
              <w:rPr>
                <w:rFonts w:asciiTheme="minorHAnsi" w:hAnsiTheme="minorHAnsi" w:cstheme="minorHAnsi"/>
              </w:rPr>
            </w:pPr>
            <w:r>
              <w:rPr>
                <w:rFonts w:asciiTheme="minorHAnsi" w:hAnsiTheme="minorHAnsi" w:cstheme="minorHAnsi"/>
              </w:rPr>
              <w:t xml:space="preserve">Projekt rozporządzenia nie określa wymagań dla dostępu warunkowego. </w:t>
            </w:r>
            <w:r w:rsidR="009150B4" w:rsidRPr="009150B4">
              <w:rPr>
                <w:rFonts w:asciiTheme="minorHAnsi" w:hAnsiTheme="minorHAnsi" w:cstheme="minorHAnsi"/>
              </w:rPr>
              <w:t>Zgodnie z Zieloną Księgą cyfryzacji radia w Polsce Krajowej Rady Radiofonii i Telewizji 2016 r. radiofonia naziemna ma pozostać bezpłatna</w:t>
            </w:r>
            <w:r w:rsidR="00F443B3">
              <w:rPr>
                <w:rFonts w:asciiTheme="minorHAnsi" w:hAnsiTheme="minorHAnsi" w:cstheme="minorHAnsi"/>
              </w:rPr>
              <w:t xml:space="preserve"> i nie jest planowane stosowanie w Polsce dostępu warunkowego do usług radiofonicznych. Także w innych krajach UE</w:t>
            </w:r>
            <w:r w:rsidR="00AE7AB0">
              <w:rPr>
                <w:rFonts w:asciiTheme="minorHAnsi" w:hAnsiTheme="minorHAnsi" w:cstheme="minorHAnsi"/>
              </w:rPr>
              <w:t>,</w:t>
            </w:r>
            <w:r w:rsidR="00F443B3">
              <w:rPr>
                <w:rFonts w:asciiTheme="minorHAnsi" w:hAnsiTheme="minorHAnsi" w:cstheme="minorHAnsi"/>
              </w:rPr>
              <w:t xml:space="preserve"> gdzie realizowane są transmisje </w:t>
            </w:r>
            <w:r w:rsidR="008E7DF6">
              <w:rPr>
                <w:rFonts w:asciiTheme="minorHAnsi" w:hAnsiTheme="minorHAnsi" w:cstheme="minorHAnsi"/>
              </w:rPr>
              <w:t>DAB/</w:t>
            </w:r>
            <w:r w:rsidR="00F443B3">
              <w:rPr>
                <w:rFonts w:asciiTheme="minorHAnsi" w:hAnsiTheme="minorHAnsi" w:cstheme="minorHAnsi"/>
              </w:rPr>
              <w:t xml:space="preserve">DAB+ </w:t>
            </w:r>
            <w:r w:rsidR="00CF69A5">
              <w:rPr>
                <w:rFonts w:asciiTheme="minorHAnsi" w:hAnsiTheme="minorHAnsi" w:cstheme="minorHAnsi"/>
              </w:rPr>
              <w:t>nie wykorzystuje się dostępu warunkowego.</w:t>
            </w:r>
            <w:r w:rsidR="00500FAF">
              <w:rPr>
                <w:rFonts w:asciiTheme="minorHAnsi" w:hAnsiTheme="minorHAnsi" w:cstheme="minorHAnsi"/>
              </w:rPr>
              <w:t xml:space="preserve"> Definiowanie wymagań takiego dostępu jest więc bezzasadne</w:t>
            </w:r>
            <w:r w:rsidR="00AE7AB0">
              <w:rPr>
                <w:rFonts w:asciiTheme="minorHAnsi" w:hAnsiTheme="minorHAnsi" w:cstheme="minorHAnsi"/>
              </w:rPr>
              <w:t>,</w:t>
            </w:r>
            <w:r w:rsidR="00500FAF">
              <w:rPr>
                <w:rFonts w:asciiTheme="minorHAnsi" w:hAnsiTheme="minorHAnsi" w:cstheme="minorHAnsi"/>
              </w:rPr>
              <w:t xml:space="preserve"> gdyż podnosiłoby koszt urządzeń</w:t>
            </w:r>
            <w:r w:rsidR="00AE7AB0">
              <w:rPr>
                <w:rFonts w:asciiTheme="minorHAnsi" w:hAnsiTheme="minorHAnsi" w:cstheme="minorHAnsi"/>
              </w:rPr>
              <w:t>,</w:t>
            </w:r>
            <w:r w:rsidR="00500FAF">
              <w:rPr>
                <w:rFonts w:asciiTheme="minorHAnsi" w:hAnsiTheme="minorHAnsi" w:cstheme="minorHAnsi"/>
              </w:rPr>
              <w:t xml:space="preserve"> a dostępne na rynku odbiorniki nie posiadają takiej funkcjonalności i nie jest pewne czy w ogóle producenci będą kiedykolwiek realizować taką funkcję odbiornika DAB+ w przyszłości.</w:t>
            </w:r>
          </w:p>
        </w:tc>
      </w:tr>
      <w:tr w:rsidR="00DE7613" w:rsidRPr="00192EA5" w14:paraId="5498C40D" w14:textId="77777777" w:rsidTr="00300676">
        <w:trPr>
          <w:jc w:val="center"/>
        </w:trPr>
        <w:tc>
          <w:tcPr>
            <w:tcW w:w="675" w:type="dxa"/>
            <w:vAlign w:val="center"/>
          </w:tcPr>
          <w:p w14:paraId="020EB5C7" w14:textId="179E74F3" w:rsidR="00DE7613" w:rsidRDefault="00671CD8" w:rsidP="00212416">
            <w:pPr>
              <w:rPr>
                <w:rFonts w:ascii="Calibri" w:hAnsi="Calibri" w:cs="Calibri"/>
                <w:color w:val="000000"/>
                <w:sz w:val="22"/>
                <w:szCs w:val="22"/>
              </w:rPr>
            </w:pPr>
            <w:r>
              <w:rPr>
                <w:rFonts w:ascii="Calibri" w:hAnsi="Calibri" w:cs="Calibri"/>
                <w:color w:val="000000"/>
                <w:sz w:val="22"/>
                <w:szCs w:val="22"/>
              </w:rPr>
              <w:t>5</w:t>
            </w:r>
          </w:p>
        </w:tc>
        <w:tc>
          <w:tcPr>
            <w:tcW w:w="1560" w:type="dxa"/>
            <w:vAlign w:val="center"/>
          </w:tcPr>
          <w:p w14:paraId="096033BE" w14:textId="03A616A9" w:rsidR="00DE7613" w:rsidRDefault="00DE7613" w:rsidP="007269D4">
            <w:pPr>
              <w:pStyle w:val="Bezodstpw"/>
              <w:jc w:val="center"/>
              <w:rPr>
                <w:rFonts w:asciiTheme="minorHAnsi" w:hAnsiTheme="minorHAnsi" w:cstheme="minorHAnsi"/>
              </w:rPr>
            </w:pPr>
            <w:r>
              <w:rPr>
                <w:rFonts w:asciiTheme="minorHAnsi" w:hAnsiTheme="minorHAnsi" w:cstheme="minorHAnsi"/>
              </w:rPr>
              <w:t>Rozporządzenie</w:t>
            </w:r>
          </w:p>
        </w:tc>
        <w:tc>
          <w:tcPr>
            <w:tcW w:w="1917" w:type="dxa"/>
            <w:vAlign w:val="center"/>
          </w:tcPr>
          <w:p w14:paraId="4AADA617" w14:textId="3205655E" w:rsidR="00DE7613" w:rsidRDefault="00DE7613" w:rsidP="00616679">
            <w:pPr>
              <w:jc w:val="center"/>
              <w:rPr>
                <w:rFonts w:asciiTheme="minorHAnsi" w:hAnsiTheme="minorHAnsi" w:cstheme="minorHAnsi"/>
              </w:rPr>
            </w:pPr>
            <w:r>
              <w:rPr>
                <w:rFonts w:asciiTheme="minorHAnsi" w:hAnsiTheme="minorHAnsi" w:cstheme="minorHAnsi"/>
              </w:rPr>
              <w:t>RCL</w:t>
            </w:r>
          </w:p>
        </w:tc>
        <w:tc>
          <w:tcPr>
            <w:tcW w:w="4746" w:type="dxa"/>
            <w:vAlign w:val="center"/>
          </w:tcPr>
          <w:p w14:paraId="02C99552" w14:textId="2E0A9E03" w:rsidR="00DE7613" w:rsidRPr="004F5245" w:rsidRDefault="00DE7613" w:rsidP="00300676">
            <w:pPr>
              <w:autoSpaceDE w:val="0"/>
              <w:autoSpaceDN w:val="0"/>
              <w:adjustRightInd w:val="0"/>
              <w:jc w:val="both"/>
              <w:rPr>
                <w:rFonts w:asciiTheme="minorHAnsi" w:hAnsiTheme="minorHAnsi" w:cstheme="minorHAnsi"/>
              </w:rPr>
            </w:pPr>
            <w:r w:rsidRPr="002678DB">
              <w:rPr>
                <w:rFonts w:asciiTheme="minorHAnsi" w:hAnsiTheme="minorHAnsi" w:cstheme="minorHAnsi"/>
              </w:rPr>
              <w:t>Jako że upoważnienie ustawowe przekazuje do unormowania kwestie warunków technicznych i eksploatacyjnych dla urządzeń konsumenckich, zasadnym wydaje się wyraźne przesądzenie w uzasadnieniu projektowanego rozporządzenia, które z przewidzianych w załączniku wytycznych Wnioskodawca uznaje za warunki techniczne, a które za</w:t>
            </w:r>
            <w:r w:rsidR="002459CF" w:rsidRPr="002678DB">
              <w:rPr>
                <w:rFonts w:asciiTheme="minorHAnsi" w:hAnsiTheme="minorHAnsi" w:cstheme="minorHAnsi"/>
              </w:rPr>
              <w:t xml:space="preserve"> </w:t>
            </w:r>
            <w:r w:rsidRPr="002678DB">
              <w:rPr>
                <w:rFonts w:asciiTheme="minorHAnsi" w:hAnsiTheme="minorHAnsi" w:cstheme="minorHAnsi"/>
              </w:rPr>
              <w:t>eksploatacyjne. Jednocześnie wyjaśnienia wymaga, w jaki sposób przepisy niniejszego projektu wypełniają wytyczne zawarte w upoważnieniu ustawowym, czyli efektywne wykorzystanie częstotliwości oraz zapewnienie warunków do powszechnego odbioru</w:t>
            </w:r>
            <w:r w:rsidR="00300676">
              <w:rPr>
                <w:rFonts w:asciiTheme="minorHAnsi" w:hAnsiTheme="minorHAnsi" w:cstheme="minorHAnsi"/>
              </w:rPr>
              <w:t xml:space="preserve"> </w:t>
            </w:r>
            <w:r w:rsidRPr="002678DB">
              <w:rPr>
                <w:rFonts w:asciiTheme="minorHAnsi" w:hAnsiTheme="minorHAnsi" w:cstheme="minorHAnsi"/>
              </w:rPr>
              <w:t>programów radiofonicznych na terytorium Rzeczypospolitej Polskiej</w:t>
            </w:r>
          </w:p>
        </w:tc>
        <w:tc>
          <w:tcPr>
            <w:tcW w:w="4521" w:type="dxa"/>
            <w:vAlign w:val="center"/>
          </w:tcPr>
          <w:p w14:paraId="5634F9A1" w14:textId="03DB3C14" w:rsidR="00B412CF" w:rsidRDefault="00B412CF" w:rsidP="009F34B5">
            <w:pPr>
              <w:widowControl w:val="0"/>
              <w:autoSpaceDE w:val="0"/>
              <w:autoSpaceDN w:val="0"/>
              <w:adjustRightInd w:val="0"/>
              <w:spacing w:before="120" w:after="120"/>
              <w:jc w:val="both"/>
              <w:rPr>
                <w:rFonts w:asciiTheme="minorHAnsi" w:hAnsiTheme="minorHAnsi" w:cstheme="minorHAnsi"/>
              </w:rPr>
            </w:pPr>
            <w:r>
              <w:rPr>
                <w:rFonts w:asciiTheme="minorHAnsi" w:hAnsiTheme="minorHAnsi" w:cstheme="minorHAnsi"/>
              </w:rPr>
              <w:t>Uwaga uwzględniona.</w:t>
            </w:r>
          </w:p>
          <w:p w14:paraId="165556D0" w14:textId="32E31286" w:rsidR="00CF69A5" w:rsidRDefault="00CF69A5" w:rsidP="009F34B5">
            <w:pPr>
              <w:widowControl w:val="0"/>
              <w:autoSpaceDE w:val="0"/>
              <w:autoSpaceDN w:val="0"/>
              <w:adjustRightInd w:val="0"/>
              <w:spacing w:before="120" w:after="120"/>
              <w:jc w:val="both"/>
              <w:rPr>
                <w:rFonts w:asciiTheme="minorHAnsi" w:hAnsiTheme="minorHAnsi" w:cstheme="minorHAnsi"/>
              </w:rPr>
            </w:pPr>
            <w:r>
              <w:rPr>
                <w:rFonts w:asciiTheme="minorHAnsi" w:hAnsiTheme="minorHAnsi" w:cstheme="minorHAnsi"/>
              </w:rPr>
              <w:t xml:space="preserve">Wskazano </w:t>
            </w:r>
            <w:r w:rsidR="007A5026">
              <w:rPr>
                <w:rFonts w:asciiTheme="minorHAnsi" w:hAnsiTheme="minorHAnsi" w:cstheme="minorHAnsi"/>
              </w:rPr>
              <w:t xml:space="preserve">podział na </w:t>
            </w:r>
            <w:r>
              <w:rPr>
                <w:rFonts w:asciiTheme="minorHAnsi" w:hAnsiTheme="minorHAnsi" w:cstheme="minorHAnsi"/>
              </w:rPr>
              <w:t>wymagania techniczne i eksploatacyjne</w:t>
            </w:r>
            <w:r w:rsidR="007A5026">
              <w:rPr>
                <w:rFonts w:asciiTheme="minorHAnsi" w:hAnsiTheme="minorHAnsi" w:cstheme="minorHAnsi"/>
              </w:rPr>
              <w:t xml:space="preserve"> w uzasadnieniu do rozporządzenia</w:t>
            </w:r>
            <w:r>
              <w:rPr>
                <w:rFonts w:asciiTheme="minorHAnsi" w:hAnsiTheme="minorHAnsi" w:cstheme="minorHAnsi"/>
              </w:rPr>
              <w:t>.</w:t>
            </w:r>
          </w:p>
          <w:p w14:paraId="4EA509EA" w14:textId="491DB94F" w:rsidR="002459CF" w:rsidRPr="002459CF" w:rsidRDefault="002459CF" w:rsidP="009F34B5">
            <w:pPr>
              <w:widowControl w:val="0"/>
              <w:autoSpaceDE w:val="0"/>
              <w:autoSpaceDN w:val="0"/>
              <w:adjustRightInd w:val="0"/>
              <w:spacing w:before="120" w:after="120"/>
              <w:jc w:val="both"/>
              <w:rPr>
                <w:rFonts w:asciiTheme="minorHAnsi" w:hAnsiTheme="minorHAnsi" w:cstheme="minorHAnsi"/>
              </w:rPr>
            </w:pPr>
            <w:r w:rsidRPr="002459CF">
              <w:rPr>
                <w:rFonts w:asciiTheme="minorHAnsi" w:hAnsiTheme="minorHAnsi" w:cstheme="minorHAnsi"/>
              </w:rPr>
              <w:t xml:space="preserve">W uzasadnieniu do projektu rozporządzenia jest zapis </w:t>
            </w:r>
            <w:r w:rsidR="00796650">
              <w:rPr>
                <w:rFonts w:asciiTheme="minorHAnsi" w:hAnsiTheme="minorHAnsi" w:cstheme="minorHAnsi"/>
              </w:rPr>
              <w:t>o optymalnym wykorzystaniu widma wynikający ze standardu nadawania DAB+.</w:t>
            </w:r>
          </w:p>
          <w:p w14:paraId="0A720E3C" w14:textId="745F3F81" w:rsidR="00DE7613" w:rsidRPr="008B0B7C" w:rsidRDefault="00796650" w:rsidP="00026266">
            <w:pPr>
              <w:widowControl w:val="0"/>
              <w:autoSpaceDE w:val="0"/>
              <w:autoSpaceDN w:val="0"/>
              <w:adjustRightInd w:val="0"/>
              <w:spacing w:before="120" w:after="120"/>
              <w:jc w:val="both"/>
              <w:rPr>
                <w:rFonts w:asciiTheme="minorHAnsi" w:hAnsiTheme="minorHAnsi" w:cstheme="minorHAnsi"/>
              </w:rPr>
            </w:pPr>
            <w:r>
              <w:rPr>
                <w:rFonts w:asciiTheme="minorHAnsi" w:hAnsiTheme="minorHAnsi" w:cstheme="minorHAnsi"/>
              </w:rPr>
              <w:t xml:space="preserve">Rozporządzenie </w:t>
            </w:r>
            <w:r w:rsidR="00C52B2B">
              <w:rPr>
                <w:rFonts w:asciiTheme="minorHAnsi" w:hAnsiTheme="minorHAnsi" w:cstheme="minorHAnsi"/>
              </w:rPr>
              <w:t xml:space="preserve">w ust. 8.2 </w:t>
            </w:r>
            <w:r>
              <w:rPr>
                <w:rFonts w:asciiTheme="minorHAnsi" w:hAnsiTheme="minorHAnsi" w:cstheme="minorHAnsi"/>
              </w:rPr>
              <w:t xml:space="preserve">wprowadza wymagania techniczne </w:t>
            </w:r>
            <w:r w:rsidR="00026266">
              <w:rPr>
                <w:rFonts w:asciiTheme="minorHAnsi" w:hAnsiTheme="minorHAnsi" w:cstheme="minorHAnsi"/>
              </w:rPr>
              <w:t xml:space="preserve">m.in. </w:t>
            </w:r>
            <w:r w:rsidR="0044637A" w:rsidRPr="0044637A">
              <w:rPr>
                <w:rFonts w:asciiTheme="minorHAnsi" w:hAnsiTheme="minorHAnsi" w:cstheme="minorHAnsi"/>
              </w:rPr>
              <w:t>funkcjonalność maskowania błędów</w:t>
            </w:r>
            <w:r w:rsidR="0044637A">
              <w:rPr>
                <w:rFonts w:asciiTheme="minorHAnsi" w:hAnsiTheme="minorHAnsi" w:cstheme="minorHAnsi"/>
              </w:rPr>
              <w:t xml:space="preserve"> transmisji</w:t>
            </w:r>
            <w:r w:rsidR="00026266">
              <w:rPr>
                <w:rFonts w:asciiTheme="minorHAnsi" w:hAnsiTheme="minorHAnsi" w:cstheme="minorHAnsi"/>
              </w:rPr>
              <w:t>, która</w:t>
            </w:r>
            <w:r w:rsidR="0044637A">
              <w:rPr>
                <w:rFonts w:asciiTheme="minorHAnsi" w:hAnsiTheme="minorHAnsi" w:cstheme="minorHAnsi"/>
              </w:rPr>
              <w:t xml:space="preserve"> przyczyni się </w:t>
            </w:r>
            <w:r w:rsidR="00026266">
              <w:rPr>
                <w:rFonts w:asciiTheme="minorHAnsi" w:hAnsiTheme="minorHAnsi" w:cstheme="minorHAnsi"/>
              </w:rPr>
              <w:t xml:space="preserve">do </w:t>
            </w:r>
            <w:r w:rsidR="0044637A">
              <w:rPr>
                <w:rFonts w:asciiTheme="minorHAnsi" w:hAnsiTheme="minorHAnsi" w:cstheme="minorHAnsi"/>
              </w:rPr>
              <w:t xml:space="preserve">lepszego wykorzystania kanałów poprzez zmniejszenie wpływu </w:t>
            </w:r>
            <w:r w:rsidR="00513D42" w:rsidRPr="0044637A">
              <w:rPr>
                <w:rFonts w:asciiTheme="minorHAnsi" w:hAnsiTheme="minorHAnsi" w:cstheme="minorHAnsi"/>
              </w:rPr>
              <w:t>szkodliwych zakłóceń, zwłaszcza pochodzących ze współdzielonych lub sąsiadujących kanałów</w:t>
            </w:r>
            <w:r w:rsidR="00CF69A5">
              <w:rPr>
                <w:rFonts w:asciiTheme="minorHAnsi" w:hAnsiTheme="minorHAnsi" w:cstheme="minorHAnsi"/>
              </w:rPr>
              <w:t xml:space="preserve"> a w pkt. 11 wymagania techniczne pozwalające na zachowanie odpowiedniej czułości i selektywności odbiornika skutkujących efektywnym wykorzystaniem widma radiowego i unikaniem zakłóceń</w:t>
            </w:r>
            <w:r w:rsidR="00513D42">
              <w:rPr>
                <w:rFonts w:asciiTheme="minorHAnsi" w:hAnsiTheme="minorHAnsi" w:cstheme="minorHAnsi"/>
              </w:rPr>
              <w:t>.</w:t>
            </w:r>
            <w:r w:rsidR="00CF69A5">
              <w:rPr>
                <w:rFonts w:asciiTheme="minorHAnsi" w:hAnsiTheme="minorHAnsi" w:cstheme="minorHAnsi"/>
              </w:rPr>
              <w:t xml:space="preserve"> </w:t>
            </w:r>
            <w:r w:rsidR="008E7DF6">
              <w:rPr>
                <w:rFonts w:asciiTheme="minorHAnsi" w:hAnsiTheme="minorHAnsi" w:cstheme="minorHAnsi"/>
              </w:rPr>
              <w:t xml:space="preserve">Wprowadzenie wymogu stosowania </w:t>
            </w:r>
            <w:r w:rsidR="008E7DF6">
              <w:rPr>
                <w:rFonts w:asciiTheme="minorHAnsi" w:hAnsiTheme="minorHAnsi" w:cstheme="minorHAnsi"/>
              </w:rPr>
              <w:lastRenderedPageBreak/>
              <w:t>kodeka MPEG-4 HE AACv2 ma na celu umieszczenie większej liczby programów o tej samej jakości</w:t>
            </w:r>
            <w:r w:rsidR="00026266">
              <w:rPr>
                <w:rFonts w:asciiTheme="minorHAnsi" w:hAnsiTheme="minorHAnsi" w:cstheme="minorHAnsi"/>
              </w:rPr>
              <w:t>,</w:t>
            </w:r>
            <w:r w:rsidR="008E7DF6">
              <w:rPr>
                <w:rFonts w:asciiTheme="minorHAnsi" w:hAnsiTheme="minorHAnsi" w:cstheme="minorHAnsi"/>
              </w:rPr>
              <w:t xml:space="preserve"> niż w przypadku stosowanego w niektórych krajach UE kodeka MPEG1 </w:t>
            </w:r>
            <w:proofErr w:type="spellStart"/>
            <w:r w:rsidR="008E7DF6">
              <w:rPr>
                <w:rFonts w:asciiTheme="minorHAnsi" w:hAnsiTheme="minorHAnsi" w:cstheme="minorHAnsi"/>
              </w:rPr>
              <w:t>Layer</w:t>
            </w:r>
            <w:proofErr w:type="spellEnd"/>
            <w:r w:rsidR="008E7DF6">
              <w:rPr>
                <w:rFonts w:asciiTheme="minorHAnsi" w:hAnsiTheme="minorHAnsi" w:cstheme="minorHAnsi"/>
              </w:rPr>
              <w:t xml:space="preserve"> II, co przekłada się na niemal dwukrotne zwiększenie efektywności wykorzystania widma radiowego.</w:t>
            </w:r>
          </w:p>
        </w:tc>
      </w:tr>
      <w:tr w:rsidR="00212416" w:rsidRPr="00192EA5" w14:paraId="3D63FEB8" w14:textId="77777777" w:rsidTr="00300676">
        <w:trPr>
          <w:jc w:val="center"/>
        </w:trPr>
        <w:tc>
          <w:tcPr>
            <w:tcW w:w="675" w:type="dxa"/>
            <w:vAlign w:val="center"/>
          </w:tcPr>
          <w:p w14:paraId="3356E3D4" w14:textId="495987D4" w:rsidR="00212416" w:rsidRPr="008B0B7C" w:rsidRDefault="00671CD8" w:rsidP="00370DA3">
            <w:pPr>
              <w:widowControl w:val="0"/>
              <w:autoSpaceDE w:val="0"/>
              <w:autoSpaceDN w:val="0"/>
              <w:adjustRightInd w:val="0"/>
              <w:spacing w:before="120" w:after="120"/>
              <w:jc w:val="center"/>
              <w:rPr>
                <w:rFonts w:asciiTheme="minorHAnsi" w:hAnsiTheme="minorHAnsi" w:cstheme="minorHAnsi"/>
                <w:b/>
              </w:rPr>
            </w:pPr>
            <w:r>
              <w:rPr>
                <w:rFonts w:ascii="Calibri" w:hAnsi="Calibri" w:cs="Calibri"/>
                <w:color w:val="000000"/>
                <w:sz w:val="22"/>
                <w:szCs w:val="22"/>
              </w:rPr>
              <w:lastRenderedPageBreak/>
              <w:t>6</w:t>
            </w:r>
          </w:p>
        </w:tc>
        <w:tc>
          <w:tcPr>
            <w:tcW w:w="1560" w:type="dxa"/>
            <w:vAlign w:val="center"/>
          </w:tcPr>
          <w:p w14:paraId="276F1482" w14:textId="42681E0C" w:rsidR="00212416" w:rsidRPr="008B0B7C" w:rsidRDefault="001C6ECE" w:rsidP="007269D4">
            <w:pPr>
              <w:pStyle w:val="Bezodstpw"/>
              <w:jc w:val="center"/>
              <w:rPr>
                <w:rFonts w:asciiTheme="minorHAnsi" w:hAnsiTheme="minorHAnsi" w:cstheme="minorHAnsi"/>
              </w:rPr>
            </w:pPr>
            <w:r>
              <w:rPr>
                <w:rFonts w:asciiTheme="minorHAnsi" w:hAnsiTheme="minorHAnsi" w:cstheme="minorHAnsi"/>
              </w:rPr>
              <w:t>Pkt 1 zał.</w:t>
            </w:r>
          </w:p>
        </w:tc>
        <w:tc>
          <w:tcPr>
            <w:tcW w:w="1917" w:type="dxa"/>
            <w:vAlign w:val="center"/>
          </w:tcPr>
          <w:p w14:paraId="6B72868E" w14:textId="3A04FDE5" w:rsidR="00212416" w:rsidRPr="008B0B7C" w:rsidRDefault="00DE7613" w:rsidP="00D44267">
            <w:pPr>
              <w:jc w:val="center"/>
              <w:rPr>
                <w:rFonts w:asciiTheme="minorHAnsi" w:hAnsiTheme="minorHAnsi" w:cstheme="minorHAnsi"/>
              </w:rPr>
            </w:pPr>
            <w:r>
              <w:rPr>
                <w:rFonts w:asciiTheme="minorHAnsi" w:hAnsiTheme="minorHAnsi" w:cstheme="minorHAnsi"/>
              </w:rPr>
              <w:t>RCL</w:t>
            </w:r>
          </w:p>
        </w:tc>
        <w:tc>
          <w:tcPr>
            <w:tcW w:w="4746" w:type="dxa"/>
            <w:vAlign w:val="center"/>
          </w:tcPr>
          <w:p w14:paraId="3DBED6B9" w14:textId="6B986DF2" w:rsidR="001C6ECE" w:rsidRPr="00382671" w:rsidRDefault="001C6ECE" w:rsidP="001C6ECE">
            <w:pPr>
              <w:jc w:val="both"/>
              <w:rPr>
                <w:rFonts w:asciiTheme="minorHAnsi" w:hAnsiTheme="minorHAnsi" w:cstheme="minorHAnsi"/>
              </w:rPr>
            </w:pPr>
            <w:r w:rsidRPr="00382671">
              <w:rPr>
                <w:rFonts w:asciiTheme="minorHAnsi" w:hAnsiTheme="minorHAnsi" w:cstheme="minorHAnsi"/>
              </w:rPr>
              <w:t>Z jednej strony, w projektowanym rozporządzeniu – w pkt 1 załącznika – z góry przesądzono, iż określa on „wymagania dla urządzeń konsumenckich służących do odbioru cyfrowych transmisji radiofonicznych nadawanych w systemie DAB+ drogą naziemną</w:t>
            </w:r>
          </w:p>
          <w:p w14:paraId="56D088FB" w14:textId="1FAED6D2" w:rsidR="001C6ECE" w:rsidRPr="00382671" w:rsidRDefault="001C6ECE" w:rsidP="001C6ECE">
            <w:pPr>
              <w:jc w:val="both"/>
              <w:rPr>
                <w:rFonts w:asciiTheme="minorHAnsi" w:hAnsiTheme="minorHAnsi" w:cstheme="minorHAnsi"/>
              </w:rPr>
            </w:pPr>
            <w:r w:rsidRPr="00382671">
              <w:rPr>
                <w:rFonts w:asciiTheme="minorHAnsi" w:hAnsiTheme="minorHAnsi" w:cstheme="minorHAnsi"/>
              </w:rPr>
              <w:t>bezprzewodową lub kablową w paśmie III VHF w Polsce”. Tym samym zawężono rozumienie cyfrowych transmisji radiofonicznych.</w:t>
            </w:r>
          </w:p>
          <w:p w14:paraId="0C0A6764" w14:textId="1CEF30F4" w:rsidR="001C6ECE" w:rsidRPr="00382671" w:rsidRDefault="001C6ECE" w:rsidP="001C6ECE">
            <w:pPr>
              <w:jc w:val="both"/>
              <w:rPr>
                <w:rFonts w:asciiTheme="minorHAnsi" w:hAnsiTheme="minorHAnsi" w:cstheme="minorHAnsi"/>
              </w:rPr>
            </w:pPr>
            <w:r w:rsidRPr="00382671">
              <w:rPr>
                <w:rFonts w:asciiTheme="minorHAnsi" w:hAnsiTheme="minorHAnsi" w:cstheme="minorHAnsi"/>
              </w:rPr>
              <w:t xml:space="preserve">Z drugiej strony, dodatkowo doprecyzowano, iż wymagania dotyczą urządzeń, których podstawową funkcjonalnością jest odbiór cyfrowych transmisji radiofonicznych, w tym urządzeń wbudowanych do pojazdów kategorii M, o których mowa w załączniku nr 2 do ustawy z dnia 20 czerwca 1997 r. – Prawo o ruchu drogowym (Dz. U. z 2018 r. poz. 1990, z </w:t>
            </w:r>
            <w:proofErr w:type="spellStart"/>
            <w:r w:rsidRPr="00382671">
              <w:rPr>
                <w:rFonts w:asciiTheme="minorHAnsi" w:hAnsiTheme="minorHAnsi" w:cstheme="minorHAnsi"/>
              </w:rPr>
              <w:t>późn</w:t>
            </w:r>
            <w:proofErr w:type="spellEnd"/>
            <w:r w:rsidRPr="00382671">
              <w:rPr>
                <w:rFonts w:asciiTheme="minorHAnsi" w:hAnsiTheme="minorHAnsi" w:cstheme="minorHAnsi"/>
              </w:rPr>
              <w:t>. zm.).</w:t>
            </w:r>
          </w:p>
          <w:p w14:paraId="00102997" w14:textId="42816D14" w:rsidR="001C6ECE" w:rsidRPr="00382671" w:rsidRDefault="001C6ECE" w:rsidP="001C6ECE">
            <w:pPr>
              <w:jc w:val="both"/>
              <w:rPr>
                <w:rFonts w:asciiTheme="minorHAnsi" w:hAnsiTheme="minorHAnsi" w:cstheme="minorHAnsi"/>
              </w:rPr>
            </w:pPr>
            <w:r w:rsidRPr="00382671">
              <w:rPr>
                <w:rFonts w:asciiTheme="minorHAnsi" w:hAnsiTheme="minorHAnsi" w:cstheme="minorHAnsi"/>
              </w:rPr>
              <w:t>W ten sposób dokonano niejako zdefiniowania pojęcia „urządzenia konsumenckiego”, o czym świadczy także uzasadnienie projektowanej regulacji (str. 1, akapit 2): „projektowane rozporządzenie ma za zadanie zdefiniować cyfrowy odbiornik radiofoniczny DAB+ oferowany na rynek polski”.</w:t>
            </w:r>
          </w:p>
          <w:p w14:paraId="23A0F2CB" w14:textId="66DD9C93" w:rsidR="00212416" w:rsidRPr="008B0B7C" w:rsidRDefault="001C6ECE" w:rsidP="001C6ECE">
            <w:pPr>
              <w:jc w:val="both"/>
              <w:rPr>
                <w:rFonts w:asciiTheme="minorHAnsi" w:hAnsiTheme="minorHAnsi" w:cstheme="minorHAnsi"/>
              </w:rPr>
            </w:pPr>
            <w:r w:rsidRPr="00382671">
              <w:rPr>
                <w:rFonts w:asciiTheme="minorHAnsi" w:hAnsiTheme="minorHAnsi" w:cstheme="minorHAnsi"/>
              </w:rPr>
              <w:t xml:space="preserve">Definicje „odbiornika cyfrowego DAB+” zawarto natomiast w pkt 3 załącznika do projektu rozporządzenia (w podziale na odbiorniki standardowe, multimedialne oraz adaptery). Biorąc pod uwagę, że ustawa zawiera definicję „odbiornika cyfrowego” w art. 2 pkt 23a, stanowiąc o urządzeniu służącym do odbioru cyfrowych transmisji telewizyjnych, nie jest jasne, czy definiowanie odbiorników cyfrowych na potrzeby niniejszego </w:t>
            </w:r>
            <w:r w:rsidRPr="00382671">
              <w:rPr>
                <w:rFonts w:asciiTheme="minorHAnsi" w:hAnsiTheme="minorHAnsi" w:cstheme="minorHAnsi"/>
              </w:rPr>
              <w:lastRenderedPageBreak/>
              <w:t xml:space="preserve">projektu rozporządzenia przez </w:t>
            </w:r>
            <w:r w:rsidRPr="001C6ECE">
              <w:rPr>
                <w:rFonts w:asciiTheme="minorHAnsi" w:hAnsiTheme="minorHAnsi" w:cstheme="minorHAnsi"/>
              </w:rPr>
              <w:t>kontekst celu, jakim jest odbiór cyfrowych transmisji radiofonicznych,</w:t>
            </w:r>
            <w:r>
              <w:rPr>
                <w:rFonts w:asciiTheme="minorHAnsi" w:hAnsiTheme="minorHAnsi" w:cstheme="minorHAnsi"/>
              </w:rPr>
              <w:t xml:space="preserve"> </w:t>
            </w:r>
            <w:r w:rsidRPr="001C6ECE">
              <w:rPr>
                <w:rFonts w:asciiTheme="minorHAnsi" w:hAnsiTheme="minorHAnsi" w:cstheme="minorHAnsi"/>
              </w:rPr>
              <w:t>będzie zgodne z ustawą.</w:t>
            </w:r>
          </w:p>
        </w:tc>
        <w:tc>
          <w:tcPr>
            <w:tcW w:w="4521" w:type="dxa"/>
            <w:vAlign w:val="center"/>
          </w:tcPr>
          <w:p w14:paraId="08009FE1" w14:textId="2BF6226D" w:rsidR="00026266" w:rsidRDefault="00026266" w:rsidP="00483E65">
            <w:pPr>
              <w:jc w:val="both"/>
              <w:rPr>
                <w:rFonts w:asciiTheme="minorHAnsi" w:hAnsiTheme="minorHAnsi" w:cstheme="minorHAnsi"/>
              </w:rPr>
            </w:pPr>
            <w:r>
              <w:rPr>
                <w:rFonts w:asciiTheme="minorHAnsi" w:hAnsiTheme="minorHAnsi" w:cstheme="minorHAnsi"/>
              </w:rPr>
              <w:lastRenderedPageBreak/>
              <w:t xml:space="preserve">Uwaga </w:t>
            </w:r>
            <w:r w:rsidR="007325A4">
              <w:rPr>
                <w:rFonts w:asciiTheme="minorHAnsi" w:hAnsiTheme="minorHAnsi" w:cstheme="minorHAnsi"/>
              </w:rPr>
              <w:t xml:space="preserve">częściowo </w:t>
            </w:r>
            <w:r>
              <w:rPr>
                <w:rFonts w:asciiTheme="minorHAnsi" w:hAnsiTheme="minorHAnsi" w:cstheme="minorHAnsi"/>
              </w:rPr>
              <w:t>uwzględniona.</w:t>
            </w:r>
          </w:p>
          <w:p w14:paraId="59E082C5" w14:textId="0C39B639" w:rsidR="00382671" w:rsidRPr="00382671" w:rsidRDefault="007A5026" w:rsidP="00382671">
            <w:pPr>
              <w:jc w:val="both"/>
              <w:rPr>
                <w:rFonts w:asciiTheme="minorHAnsi" w:hAnsiTheme="minorHAnsi" w:cstheme="minorHAnsi"/>
              </w:rPr>
            </w:pPr>
            <w:r w:rsidRPr="00382671">
              <w:rPr>
                <w:rFonts w:asciiTheme="minorHAnsi" w:hAnsiTheme="minorHAnsi" w:cstheme="minorHAnsi"/>
              </w:rPr>
              <w:t>Zmodyfikowano zapisy rozporządzenia tak</w:t>
            </w:r>
            <w:r w:rsidR="00026266">
              <w:rPr>
                <w:rFonts w:asciiTheme="minorHAnsi" w:hAnsiTheme="minorHAnsi" w:cstheme="minorHAnsi"/>
              </w:rPr>
              <w:t>,</w:t>
            </w:r>
            <w:r w:rsidR="00AE7AB0">
              <w:rPr>
                <w:rFonts w:asciiTheme="minorHAnsi" w:hAnsiTheme="minorHAnsi" w:cstheme="minorHAnsi"/>
              </w:rPr>
              <w:t xml:space="preserve"> aby były zgodn</w:t>
            </w:r>
            <w:r w:rsidR="00544AC5">
              <w:rPr>
                <w:rFonts w:asciiTheme="minorHAnsi" w:hAnsiTheme="minorHAnsi" w:cstheme="minorHAnsi"/>
              </w:rPr>
              <w:t xml:space="preserve">e z PT - </w:t>
            </w:r>
            <w:r w:rsidR="00544AC5" w:rsidRPr="00544AC5">
              <w:rPr>
                <w:rFonts w:asciiTheme="minorHAnsi" w:hAnsiTheme="minorHAnsi" w:cstheme="minorHAnsi"/>
              </w:rPr>
              <w:t xml:space="preserve">w pkt 3.1. wprowadzono definicję „odbiornika radiofonii DAB+” będącego urządzeniem przeznaczonym dla użytkownika końcowego służącym do odbioru cyfrowych transmisji radiofonicznych DAB+ wykorzystujących nadawanie zgodnie z normami PN-ETSI EN 300 401 V2.1.1 </w:t>
            </w:r>
            <w:r w:rsidR="00544AC5" w:rsidRPr="00544AC5">
              <w:rPr>
                <w:rFonts w:asciiTheme="minorHAnsi" w:hAnsiTheme="minorHAnsi" w:cstheme="minorHAnsi"/>
              </w:rPr>
              <w:fldChar w:fldCharType="begin"/>
            </w:r>
            <w:r w:rsidR="00544AC5" w:rsidRPr="00544AC5">
              <w:rPr>
                <w:rFonts w:asciiTheme="minorHAnsi" w:hAnsiTheme="minorHAnsi" w:cstheme="minorHAnsi"/>
              </w:rPr>
              <w:instrText xml:space="preserve"> REF _Ref383151620 \r \h  \* MERGEFORMAT </w:instrText>
            </w:r>
            <w:r w:rsidR="00544AC5" w:rsidRPr="00544AC5">
              <w:rPr>
                <w:rFonts w:asciiTheme="minorHAnsi" w:hAnsiTheme="minorHAnsi" w:cstheme="minorHAnsi"/>
              </w:rPr>
            </w:r>
            <w:r w:rsidR="00544AC5" w:rsidRPr="00544AC5">
              <w:rPr>
                <w:rFonts w:asciiTheme="minorHAnsi" w:hAnsiTheme="minorHAnsi" w:cstheme="minorHAnsi"/>
              </w:rPr>
              <w:fldChar w:fldCharType="separate"/>
            </w:r>
            <w:r w:rsidR="00544AC5" w:rsidRPr="00544AC5">
              <w:rPr>
                <w:rFonts w:asciiTheme="minorHAnsi" w:hAnsiTheme="minorHAnsi" w:cstheme="minorHAnsi"/>
              </w:rPr>
              <w:t>[1]</w:t>
            </w:r>
            <w:r w:rsidR="00544AC5" w:rsidRPr="00544AC5">
              <w:rPr>
                <w:rFonts w:asciiTheme="minorHAnsi" w:hAnsiTheme="minorHAnsi" w:cstheme="minorHAnsi"/>
              </w:rPr>
              <w:fldChar w:fldCharType="end"/>
            </w:r>
            <w:r w:rsidR="00544AC5" w:rsidRPr="00544AC5">
              <w:rPr>
                <w:rFonts w:asciiTheme="minorHAnsi" w:hAnsiTheme="minorHAnsi" w:cstheme="minorHAnsi"/>
              </w:rPr>
              <w:t xml:space="preserve"> i ETSI TS 102 563 V2.1.1 </w:t>
            </w:r>
            <w:r w:rsidR="00544AC5" w:rsidRPr="00544AC5">
              <w:rPr>
                <w:rFonts w:asciiTheme="minorHAnsi" w:hAnsiTheme="minorHAnsi" w:cstheme="minorHAnsi"/>
              </w:rPr>
              <w:fldChar w:fldCharType="begin"/>
            </w:r>
            <w:r w:rsidR="00544AC5" w:rsidRPr="00544AC5">
              <w:rPr>
                <w:rFonts w:asciiTheme="minorHAnsi" w:hAnsiTheme="minorHAnsi" w:cstheme="minorHAnsi"/>
              </w:rPr>
              <w:instrText xml:space="preserve"> REF _Ref383438523 \r \h  \* MERGEFORMAT </w:instrText>
            </w:r>
            <w:r w:rsidR="00544AC5" w:rsidRPr="00544AC5">
              <w:rPr>
                <w:rFonts w:asciiTheme="minorHAnsi" w:hAnsiTheme="minorHAnsi" w:cstheme="minorHAnsi"/>
              </w:rPr>
            </w:r>
            <w:r w:rsidR="00544AC5" w:rsidRPr="00544AC5">
              <w:rPr>
                <w:rFonts w:asciiTheme="minorHAnsi" w:hAnsiTheme="minorHAnsi" w:cstheme="minorHAnsi"/>
              </w:rPr>
              <w:fldChar w:fldCharType="separate"/>
            </w:r>
            <w:r w:rsidR="00544AC5" w:rsidRPr="00544AC5">
              <w:rPr>
                <w:rFonts w:asciiTheme="minorHAnsi" w:hAnsiTheme="minorHAnsi" w:cstheme="minorHAnsi"/>
              </w:rPr>
              <w:t>[5]</w:t>
            </w:r>
            <w:r w:rsidR="00544AC5" w:rsidRPr="00544AC5">
              <w:rPr>
                <w:rFonts w:asciiTheme="minorHAnsi" w:hAnsiTheme="minorHAnsi" w:cstheme="minorHAnsi"/>
              </w:rPr>
              <w:fldChar w:fldCharType="end"/>
            </w:r>
            <w:r w:rsidR="00544AC5">
              <w:rPr>
                <w:rFonts w:asciiTheme="minorHAnsi" w:hAnsiTheme="minorHAnsi" w:cstheme="minorHAnsi"/>
              </w:rPr>
              <w:t>.</w:t>
            </w:r>
            <w:r w:rsidR="008E7DF6">
              <w:rPr>
                <w:rFonts w:asciiTheme="minorHAnsi" w:hAnsiTheme="minorHAnsi" w:cstheme="minorHAnsi"/>
              </w:rPr>
              <w:t xml:space="preserve">Uniknięto </w:t>
            </w:r>
            <w:r w:rsidR="008631C6" w:rsidRPr="00382671">
              <w:rPr>
                <w:rFonts w:asciiTheme="minorHAnsi" w:hAnsiTheme="minorHAnsi" w:cstheme="minorHAnsi"/>
              </w:rPr>
              <w:t>więc</w:t>
            </w:r>
            <w:r w:rsidR="008631C6">
              <w:rPr>
                <w:rFonts w:asciiTheme="minorHAnsi" w:hAnsiTheme="minorHAnsi" w:cstheme="minorHAnsi"/>
              </w:rPr>
              <w:t xml:space="preserve"> </w:t>
            </w:r>
            <w:r w:rsidR="008E7DF6">
              <w:rPr>
                <w:rFonts w:asciiTheme="minorHAnsi" w:hAnsiTheme="minorHAnsi" w:cstheme="minorHAnsi"/>
              </w:rPr>
              <w:t xml:space="preserve">w ten sposób </w:t>
            </w:r>
            <w:r w:rsidR="00382671" w:rsidRPr="00382671">
              <w:rPr>
                <w:rFonts w:asciiTheme="minorHAnsi" w:hAnsiTheme="minorHAnsi" w:cstheme="minorHAnsi"/>
              </w:rPr>
              <w:t>kolizji z definicją odbiornika cyfrowego zdefiniowanego w PT w art. 2 punkt 23a</w:t>
            </w:r>
            <w:r w:rsidR="008E7DF6">
              <w:rPr>
                <w:rFonts w:asciiTheme="minorHAnsi" w:hAnsiTheme="minorHAnsi" w:cstheme="minorHAnsi"/>
              </w:rPr>
              <w:t>, który to odbiornik zdefiniowano wyłącznie jako telewizyjny.</w:t>
            </w:r>
          </w:p>
          <w:p w14:paraId="4904F48F" w14:textId="160F5B5F" w:rsidR="00AE7AB0" w:rsidRPr="00AE7AB0" w:rsidRDefault="007325A4" w:rsidP="00AE7AB0">
            <w:pPr>
              <w:jc w:val="both"/>
              <w:rPr>
                <w:rFonts w:asciiTheme="minorHAnsi" w:hAnsiTheme="minorHAnsi" w:cstheme="minorHAnsi"/>
              </w:rPr>
            </w:pPr>
            <w:r>
              <w:rPr>
                <w:rFonts w:asciiTheme="minorHAnsi" w:hAnsiTheme="minorHAnsi" w:cstheme="minorHAnsi"/>
              </w:rPr>
              <w:t>C</w:t>
            </w:r>
            <w:r w:rsidRPr="007325A4">
              <w:rPr>
                <w:rFonts w:asciiTheme="minorHAnsi" w:hAnsiTheme="minorHAnsi" w:cstheme="minorHAnsi"/>
              </w:rPr>
              <w:t xml:space="preserve">elem projektu rozporządzenia jest określenie wymagań technicznych i eksploatacyjnych dla urządzeń konsumenckich, które umożliwiają odbiór cyfrowych transmisji radiofonicznych nadawanych w standardzie DAB+, gdyż nie przewiduje się stosowania innych standardów nadawania w naziemnej radiofonii cyfrowej w Polsce. Zgodnie z ustaleniami Krajowej Rady Radiofonii i Telewizji oraz praktyką stosowaną w innych krajach UE oraz w Polsce cyfrowe transmisje radiofoniczne obecnie są realizowane i będą rozwijane w europejskim standardzie radiofonii cyfrowej DAB+. Nie są przewidywane inne formy cyfrowych transmisji radiofonicznych drogą naziemną w krajach UE. Standard DAB+ jest powszechnie stosowany w Europie (m.in. w: Belgii Czechach, Francji, Niemczech, Włoszech, Holandii Norwegii, Słowenii, Hiszpanii). </w:t>
            </w:r>
            <w:r w:rsidRPr="007325A4">
              <w:rPr>
                <w:rFonts w:asciiTheme="minorHAnsi" w:hAnsiTheme="minorHAnsi" w:cstheme="minorHAnsi"/>
              </w:rPr>
              <w:lastRenderedPageBreak/>
              <w:t>Poza Europą emisje stałe prowadzone są w Australii, Hong Kongu, Korei Południowej i Kuwejcie, a emisje testowe prowadzone są w 22 krajach Azji, Afryki i Pacyfiku. Mając na uwadze obecną sytuację na rynku krajowym, jak i europejskim nie ma podstaw, aby regulować wymagania dla odbiorników obsługujących inne, nieaktualne już standardy nadawania, gdyż niepotrzebnie podnosiłoby to cenę podstawowego, najtańszego odbiornika. Rozporządzenie nie reguluje natomiast wymagań dla odbiorników radiofonii w sieciach kablowych, satelitarnych i Internecie, podobnie jak to miało miejsce w rozporządzeniu dotyczącym odbiorników telewizyjnych DVB-T/DVB-T2, ponieważ za realizowane tam transmisje i odbiorniki odpowiadają operatorzy sieci kablowych i satelitarnych. Dlatego w rozporządzeniu definiuje się wyłącznie wymagania dla urządzenia konsumenckiego służącego do odbioru radiofonii cyfrowej DAB+ w sposób naziemny.</w:t>
            </w:r>
          </w:p>
          <w:p w14:paraId="08F36EAE" w14:textId="71F93B9E" w:rsidR="00382671" w:rsidRPr="00A15A71" w:rsidRDefault="00382671" w:rsidP="00382671">
            <w:pPr>
              <w:jc w:val="both"/>
              <w:rPr>
                <w:rFonts w:asciiTheme="minorHAnsi" w:hAnsiTheme="minorHAnsi" w:cstheme="minorHAnsi"/>
              </w:rPr>
            </w:pPr>
          </w:p>
        </w:tc>
      </w:tr>
      <w:tr w:rsidR="00DE7613" w:rsidRPr="00192EA5" w14:paraId="03FC6728" w14:textId="77777777" w:rsidTr="00300676">
        <w:trPr>
          <w:trHeight w:val="6348"/>
          <w:jc w:val="center"/>
        </w:trPr>
        <w:tc>
          <w:tcPr>
            <w:tcW w:w="675" w:type="dxa"/>
            <w:vAlign w:val="center"/>
          </w:tcPr>
          <w:p w14:paraId="45801322" w14:textId="1B02394E" w:rsidR="00DE7613" w:rsidRDefault="00671CD8" w:rsidP="00370DA3">
            <w:pPr>
              <w:widowControl w:val="0"/>
              <w:autoSpaceDE w:val="0"/>
              <w:autoSpaceDN w:val="0"/>
              <w:adjustRightInd w:val="0"/>
              <w:spacing w:before="120" w:after="120"/>
              <w:jc w:val="center"/>
              <w:rPr>
                <w:rFonts w:ascii="Calibri" w:hAnsi="Calibri" w:cs="Calibri"/>
                <w:color w:val="000000"/>
                <w:sz w:val="22"/>
                <w:szCs w:val="22"/>
              </w:rPr>
            </w:pPr>
            <w:r>
              <w:rPr>
                <w:rFonts w:ascii="Calibri" w:hAnsi="Calibri" w:cs="Calibri"/>
                <w:color w:val="000000"/>
                <w:sz w:val="22"/>
                <w:szCs w:val="22"/>
              </w:rPr>
              <w:lastRenderedPageBreak/>
              <w:t>7</w:t>
            </w:r>
          </w:p>
        </w:tc>
        <w:tc>
          <w:tcPr>
            <w:tcW w:w="1560" w:type="dxa"/>
            <w:vAlign w:val="center"/>
          </w:tcPr>
          <w:p w14:paraId="5D6ADCEF" w14:textId="08AC9623" w:rsidR="00DE7613" w:rsidRDefault="00DE7613" w:rsidP="007269D4">
            <w:pPr>
              <w:pStyle w:val="Bezodstpw"/>
              <w:jc w:val="center"/>
              <w:rPr>
                <w:rFonts w:asciiTheme="minorHAnsi" w:hAnsiTheme="minorHAnsi" w:cstheme="minorHAnsi"/>
              </w:rPr>
            </w:pPr>
            <w:r>
              <w:rPr>
                <w:rFonts w:asciiTheme="minorHAnsi" w:hAnsiTheme="minorHAnsi" w:cstheme="minorHAnsi"/>
              </w:rPr>
              <w:t>Pkt 1 zał.</w:t>
            </w:r>
          </w:p>
        </w:tc>
        <w:tc>
          <w:tcPr>
            <w:tcW w:w="1917" w:type="dxa"/>
            <w:vAlign w:val="center"/>
          </w:tcPr>
          <w:p w14:paraId="67AAB801" w14:textId="6008695F" w:rsidR="00DE7613" w:rsidRPr="008B0B7C" w:rsidRDefault="00DE7613" w:rsidP="00D44267">
            <w:pPr>
              <w:jc w:val="center"/>
              <w:rPr>
                <w:rFonts w:asciiTheme="minorHAnsi" w:hAnsiTheme="minorHAnsi" w:cstheme="minorHAnsi"/>
              </w:rPr>
            </w:pPr>
            <w:r>
              <w:rPr>
                <w:rFonts w:asciiTheme="minorHAnsi" w:hAnsiTheme="minorHAnsi" w:cstheme="minorHAnsi"/>
              </w:rPr>
              <w:t>RCL</w:t>
            </w:r>
          </w:p>
        </w:tc>
        <w:tc>
          <w:tcPr>
            <w:tcW w:w="4746" w:type="dxa"/>
            <w:vAlign w:val="center"/>
          </w:tcPr>
          <w:p w14:paraId="03831678" w14:textId="3FAAD026" w:rsidR="00DE7613" w:rsidRPr="001A36A1" w:rsidRDefault="00DE7613" w:rsidP="001A36A1">
            <w:pPr>
              <w:jc w:val="both"/>
              <w:rPr>
                <w:rFonts w:asciiTheme="minorHAnsi" w:hAnsiTheme="minorHAnsi" w:cstheme="minorHAnsi"/>
              </w:rPr>
            </w:pPr>
            <w:r w:rsidRPr="001A36A1">
              <w:rPr>
                <w:rFonts w:asciiTheme="minorHAnsi" w:hAnsiTheme="minorHAnsi" w:cstheme="minorHAnsi"/>
              </w:rPr>
              <w:t>W pkt 1 załącznika do projektu rozporządzenia („Postanowienia ogólne”) wskazano,</w:t>
            </w:r>
            <w:r>
              <w:rPr>
                <w:rFonts w:asciiTheme="minorHAnsi" w:hAnsiTheme="minorHAnsi" w:cstheme="minorHAnsi"/>
              </w:rPr>
              <w:t xml:space="preserve"> </w:t>
            </w:r>
            <w:r w:rsidRPr="001A36A1">
              <w:rPr>
                <w:rFonts w:asciiTheme="minorHAnsi" w:hAnsiTheme="minorHAnsi" w:cstheme="minorHAnsi"/>
              </w:rPr>
              <w:t>iż załącznik określa „podstawowe parametry i wymagania dla urządzeń konsumenckich…” –</w:t>
            </w:r>
            <w:r>
              <w:rPr>
                <w:rFonts w:asciiTheme="minorHAnsi" w:hAnsiTheme="minorHAnsi" w:cstheme="minorHAnsi"/>
              </w:rPr>
              <w:t xml:space="preserve"> </w:t>
            </w:r>
            <w:r w:rsidRPr="001A36A1">
              <w:rPr>
                <w:rFonts w:asciiTheme="minorHAnsi" w:hAnsiTheme="minorHAnsi" w:cstheme="minorHAnsi"/>
              </w:rPr>
              <w:t>biorąc po uwagę, że w projektowanym akcie uregulować należy jedynie wymagania</w:t>
            </w:r>
            <w:r>
              <w:rPr>
                <w:rFonts w:asciiTheme="minorHAnsi" w:hAnsiTheme="minorHAnsi" w:cstheme="minorHAnsi"/>
              </w:rPr>
              <w:t xml:space="preserve"> </w:t>
            </w:r>
            <w:r w:rsidRPr="001A36A1">
              <w:rPr>
                <w:rFonts w:asciiTheme="minorHAnsi" w:hAnsiTheme="minorHAnsi" w:cstheme="minorHAnsi"/>
              </w:rPr>
              <w:t>techniczne i eksploatacyjne dla ww. urządzeń, oraz że określone w pkt 7, 8 i 10 załącznika do</w:t>
            </w:r>
            <w:r w:rsidR="00C52B2B">
              <w:rPr>
                <w:rFonts w:asciiTheme="minorHAnsi" w:hAnsiTheme="minorHAnsi" w:cstheme="minorHAnsi"/>
              </w:rPr>
              <w:t xml:space="preserve"> </w:t>
            </w:r>
            <w:r w:rsidRPr="001A36A1">
              <w:rPr>
                <w:rFonts w:asciiTheme="minorHAnsi" w:hAnsiTheme="minorHAnsi" w:cstheme="minorHAnsi"/>
              </w:rPr>
              <w:t>rozporządzenia parametry (odpowiednio dla interfejsu radiowego, dekodera odbiornika</w:t>
            </w:r>
            <w:r>
              <w:rPr>
                <w:rFonts w:asciiTheme="minorHAnsi" w:hAnsiTheme="minorHAnsi" w:cstheme="minorHAnsi"/>
              </w:rPr>
              <w:t xml:space="preserve"> </w:t>
            </w:r>
            <w:r w:rsidRPr="001A36A1">
              <w:rPr>
                <w:rFonts w:asciiTheme="minorHAnsi" w:hAnsiTheme="minorHAnsi" w:cstheme="minorHAnsi"/>
              </w:rPr>
              <w:t>cyfrowego DAB+ oraz wyświetlacza tego odbiornika), w rzeczywistości stanowią wymagania</w:t>
            </w:r>
            <w:r>
              <w:rPr>
                <w:rFonts w:asciiTheme="minorHAnsi" w:hAnsiTheme="minorHAnsi" w:cstheme="minorHAnsi"/>
              </w:rPr>
              <w:t xml:space="preserve"> </w:t>
            </w:r>
            <w:r w:rsidRPr="001A36A1">
              <w:rPr>
                <w:rFonts w:asciiTheme="minorHAnsi" w:hAnsiTheme="minorHAnsi" w:cstheme="minorHAnsi"/>
              </w:rPr>
              <w:t>techniczne – zasadnym wydaje się dokonanie stosownej korekty ww. punktów we</w:t>
            </w:r>
            <w:r>
              <w:rPr>
                <w:rFonts w:asciiTheme="minorHAnsi" w:hAnsiTheme="minorHAnsi" w:cstheme="minorHAnsi"/>
              </w:rPr>
              <w:t xml:space="preserve"> </w:t>
            </w:r>
            <w:r w:rsidRPr="001A36A1">
              <w:rPr>
                <w:rFonts w:asciiTheme="minorHAnsi" w:hAnsiTheme="minorHAnsi" w:cstheme="minorHAnsi"/>
              </w:rPr>
              <w:t>wskazanym zakresie, w celu zapewnienia ich zgodności z art. 132 ust. 4 ustawy.</w:t>
            </w:r>
          </w:p>
          <w:p w14:paraId="1B61EFE2" w14:textId="7335F5F7" w:rsidR="00DE7613" w:rsidRPr="001C6ECE" w:rsidRDefault="00DE7613" w:rsidP="00671CD8">
            <w:pPr>
              <w:jc w:val="both"/>
              <w:rPr>
                <w:rFonts w:asciiTheme="minorHAnsi" w:hAnsiTheme="minorHAnsi" w:cstheme="minorHAnsi"/>
              </w:rPr>
            </w:pPr>
            <w:r w:rsidRPr="001A36A1">
              <w:rPr>
                <w:rFonts w:asciiTheme="minorHAnsi" w:hAnsiTheme="minorHAnsi" w:cstheme="minorHAnsi"/>
              </w:rPr>
              <w:t>Dodatkowo należy zauważyć, iż zamieszczone w ww. pkt 1 załącznika do projektu</w:t>
            </w:r>
            <w:r>
              <w:rPr>
                <w:rFonts w:asciiTheme="minorHAnsi" w:hAnsiTheme="minorHAnsi" w:cstheme="minorHAnsi"/>
              </w:rPr>
              <w:t xml:space="preserve"> </w:t>
            </w:r>
            <w:r w:rsidRPr="001A36A1">
              <w:rPr>
                <w:rFonts w:asciiTheme="minorHAnsi" w:hAnsiTheme="minorHAnsi" w:cstheme="minorHAnsi"/>
              </w:rPr>
              <w:t xml:space="preserve">stwierdzenie, iż „spełnienie wymagań wskazanych w niniejszym </w:t>
            </w:r>
            <w:r w:rsidRPr="00F72BCA">
              <w:rPr>
                <w:rFonts w:asciiTheme="minorHAnsi" w:hAnsiTheme="minorHAnsi" w:cstheme="minorHAnsi"/>
              </w:rPr>
              <w:t>załączniku nie wyklucza możliwości rozbudowy odbiornika o inne funkcje podnoszące jego walory użytkowe” ma jedynie walor informacyjny i nie jest określeniem wymagań technicznych i eksploatacyjnych dla urządzeń konsumenckich służących do odbioru cyfrowych transmisji radiofonicznych.</w:t>
            </w:r>
          </w:p>
        </w:tc>
        <w:tc>
          <w:tcPr>
            <w:tcW w:w="4521" w:type="dxa"/>
            <w:vAlign w:val="center"/>
          </w:tcPr>
          <w:p w14:paraId="3759633B" w14:textId="77777777" w:rsidR="000665D4" w:rsidRDefault="000665D4" w:rsidP="005555B6">
            <w:pPr>
              <w:jc w:val="both"/>
              <w:rPr>
                <w:rFonts w:asciiTheme="minorHAnsi" w:hAnsiTheme="minorHAnsi" w:cstheme="minorHAnsi"/>
              </w:rPr>
            </w:pPr>
            <w:r>
              <w:rPr>
                <w:rFonts w:asciiTheme="minorHAnsi" w:hAnsiTheme="minorHAnsi" w:cstheme="minorHAnsi"/>
              </w:rPr>
              <w:t>Uwaga uwzględniona.</w:t>
            </w:r>
          </w:p>
          <w:p w14:paraId="59DD656A" w14:textId="77777777" w:rsidR="00DE7613" w:rsidRDefault="007A5026" w:rsidP="005555B6">
            <w:pPr>
              <w:jc w:val="both"/>
              <w:rPr>
                <w:rFonts w:asciiTheme="minorHAnsi" w:hAnsiTheme="minorHAnsi" w:cstheme="minorHAnsi"/>
              </w:rPr>
            </w:pPr>
            <w:r>
              <w:rPr>
                <w:rFonts w:asciiTheme="minorHAnsi" w:hAnsiTheme="minorHAnsi" w:cstheme="minorHAnsi"/>
              </w:rPr>
              <w:t xml:space="preserve">Dokonano korekty </w:t>
            </w:r>
            <w:bookmarkStart w:id="0" w:name="_GoBack"/>
            <w:r>
              <w:rPr>
                <w:rFonts w:asciiTheme="minorHAnsi" w:hAnsiTheme="minorHAnsi" w:cstheme="minorHAnsi"/>
              </w:rPr>
              <w:t>zapisów</w:t>
            </w:r>
            <w:bookmarkEnd w:id="0"/>
            <w:r>
              <w:rPr>
                <w:rFonts w:asciiTheme="minorHAnsi" w:hAnsiTheme="minorHAnsi" w:cstheme="minorHAnsi"/>
              </w:rPr>
              <w:t>.</w:t>
            </w:r>
          </w:p>
          <w:p w14:paraId="173C6BB3" w14:textId="6EFD696A" w:rsidR="007A5026" w:rsidRPr="00A15A71" w:rsidRDefault="007A5026" w:rsidP="008E7DF6">
            <w:pPr>
              <w:jc w:val="both"/>
              <w:rPr>
                <w:rFonts w:asciiTheme="minorHAnsi" w:hAnsiTheme="minorHAnsi" w:cstheme="minorHAnsi"/>
              </w:rPr>
            </w:pPr>
          </w:p>
        </w:tc>
      </w:tr>
      <w:tr w:rsidR="00DE7613" w:rsidRPr="00192EA5" w14:paraId="618BE086" w14:textId="77777777" w:rsidTr="00300676">
        <w:trPr>
          <w:trHeight w:val="6348"/>
          <w:jc w:val="center"/>
        </w:trPr>
        <w:tc>
          <w:tcPr>
            <w:tcW w:w="675" w:type="dxa"/>
            <w:vAlign w:val="center"/>
          </w:tcPr>
          <w:p w14:paraId="75366218" w14:textId="7B409098" w:rsidR="00DE7613" w:rsidRDefault="00671CD8" w:rsidP="00370DA3">
            <w:pPr>
              <w:widowControl w:val="0"/>
              <w:autoSpaceDE w:val="0"/>
              <w:autoSpaceDN w:val="0"/>
              <w:adjustRightInd w:val="0"/>
              <w:spacing w:before="120" w:after="120"/>
              <w:jc w:val="center"/>
              <w:rPr>
                <w:rFonts w:ascii="Calibri" w:hAnsi="Calibri" w:cs="Calibri"/>
                <w:color w:val="000000"/>
                <w:sz w:val="22"/>
                <w:szCs w:val="22"/>
              </w:rPr>
            </w:pPr>
            <w:r>
              <w:rPr>
                <w:rFonts w:ascii="Calibri" w:hAnsi="Calibri" w:cs="Calibri"/>
                <w:color w:val="000000"/>
                <w:sz w:val="22"/>
                <w:szCs w:val="22"/>
              </w:rPr>
              <w:lastRenderedPageBreak/>
              <w:t>8</w:t>
            </w:r>
          </w:p>
        </w:tc>
        <w:tc>
          <w:tcPr>
            <w:tcW w:w="1560" w:type="dxa"/>
            <w:vAlign w:val="center"/>
          </w:tcPr>
          <w:p w14:paraId="425E3385" w14:textId="4E31581C" w:rsidR="00DE7613" w:rsidRDefault="00DE7613" w:rsidP="007269D4">
            <w:pPr>
              <w:pStyle w:val="Bezodstpw"/>
              <w:jc w:val="center"/>
              <w:rPr>
                <w:rFonts w:asciiTheme="minorHAnsi" w:hAnsiTheme="minorHAnsi" w:cstheme="minorHAnsi"/>
              </w:rPr>
            </w:pPr>
            <w:r>
              <w:rPr>
                <w:rFonts w:asciiTheme="minorHAnsi" w:hAnsiTheme="minorHAnsi" w:cstheme="minorHAnsi"/>
              </w:rPr>
              <w:t>Pkt 2 zał.</w:t>
            </w:r>
          </w:p>
        </w:tc>
        <w:tc>
          <w:tcPr>
            <w:tcW w:w="1917" w:type="dxa"/>
            <w:vAlign w:val="center"/>
          </w:tcPr>
          <w:p w14:paraId="32EB5873" w14:textId="560E056F" w:rsidR="00DE7613" w:rsidRDefault="00DE7613" w:rsidP="00D44267">
            <w:pPr>
              <w:jc w:val="center"/>
              <w:rPr>
                <w:rFonts w:asciiTheme="minorHAnsi" w:hAnsiTheme="minorHAnsi" w:cstheme="minorHAnsi"/>
              </w:rPr>
            </w:pPr>
            <w:r>
              <w:rPr>
                <w:rFonts w:asciiTheme="minorHAnsi" w:hAnsiTheme="minorHAnsi" w:cstheme="minorHAnsi"/>
              </w:rPr>
              <w:t>RCL</w:t>
            </w:r>
          </w:p>
        </w:tc>
        <w:tc>
          <w:tcPr>
            <w:tcW w:w="4746" w:type="dxa"/>
            <w:vAlign w:val="center"/>
          </w:tcPr>
          <w:p w14:paraId="340CFAFC" w14:textId="3327C88B" w:rsidR="00DE7613" w:rsidRPr="00DE7613" w:rsidRDefault="00DE7613" w:rsidP="00DE7613">
            <w:pPr>
              <w:jc w:val="both"/>
              <w:rPr>
                <w:rFonts w:asciiTheme="minorHAnsi" w:hAnsiTheme="minorHAnsi" w:cstheme="minorHAnsi"/>
              </w:rPr>
            </w:pPr>
            <w:r w:rsidRPr="00DE7613">
              <w:rPr>
                <w:rFonts w:asciiTheme="minorHAnsi" w:hAnsiTheme="minorHAnsi" w:cstheme="minorHAnsi"/>
              </w:rPr>
              <w:t>W pkt 2 załącznika do projektu rozporządzenia przywołano szereg norm</w:t>
            </w:r>
            <w:r>
              <w:rPr>
                <w:rFonts w:asciiTheme="minorHAnsi" w:hAnsiTheme="minorHAnsi" w:cstheme="minorHAnsi"/>
              </w:rPr>
              <w:t xml:space="preserve"> </w:t>
            </w:r>
            <w:r w:rsidRPr="00DE7613">
              <w:rPr>
                <w:rFonts w:asciiTheme="minorHAnsi" w:hAnsiTheme="minorHAnsi" w:cstheme="minorHAnsi"/>
              </w:rPr>
              <w:t>i dokumentów niezaliczanych do systemu źródeł prawa powszechnie obowiązującego,</w:t>
            </w:r>
          </w:p>
          <w:p w14:paraId="71055A7A" w14:textId="77777777" w:rsidR="00DE7613" w:rsidRPr="00DE7613" w:rsidRDefault="00DE7613" w:rsidP="00DE7613">
            <w:pPr>
              <w:jc w:val="both"/>
              <w:rPr>
                <w:rFonts w:asciiTheme="minorHAnsi" w:hAnsiTheme="minorHAnsi" w:cstheme="minorHAnsi"/>
              </w:rPr>
            </w:pPr>
            <w:r w:rsidRPr="00DE7613">
              <w:rPr>
                <w:rFonts w:asciiTheme="minorHAnsi" w:hAnsiTheme="minorHAnsi" w:cstheme="minorHAnsi"/>
              </w:rPr>
              <w:t>stwierdzając (w pkt 1), że „wymagania bazują na normach przywołanych w pkt 2”.</w:t>
            </w:r>
          </w:p>
          <w:p w14:paraId="3073A569" w14:textId="07225CB5" w:rsidR="00DE7613" w:rsidRPr="00F72BCA" w:rsidRDefault="00DE7613" w:rsidP="00DE7613">
            <w:pPr>
              <w:jc w:val="both"/>
              <w:rPr>
                <w:rFonts w:asciiTheme="minorHAnsi" w:hAnsiTheme="minorHAnsi" w:cstheme="minorHAnsi"/>
              </w:rPr>
            </w:pPr>
            <w:r w:rsidRPr="00DE7613">
              <w:rPr>
                <w:rFonts w:asciiTheme="minorHAnsi" w:hAnsiTheme="minorHAnsi" w:cstheme="minorHAnsi"/>
              </w:rPr>
              <w:t>Odnosząc się do przytaczania w załączniku do rozporządzenia ww. dokumentów,</w:t>
            </w:r>
            <w:r>
              <w:rPr>
                <w:rFonts w:asciiTheme="minorHAnsi" w:hAnsiTheme="minorHAnsi" w:cstheme="minorHAnsi"/>
              </w:rPr>
              <w:t xml:space="preserve"> </w:t>
            </w:r>
            <w:r w:rsidRPr="00DE7613">
              <w:rPr>
                <w:rFonts w:asciiTheme="minorHAnsi" w:hAnsiTheme="minorHAnsi" w:cstheme="minorHAnsi"/>
              </w:rPr>
              <w:t>należy wskazać, iż w świetle „Zasad techniki prawodawczej”, stanowiących załącznik do</w:t>
            </w:r>
            <w:r>
              <w:rPr>
                <w:rFonts w:asciiTheme="minorHAnsi" w:hAnsiTheme="minorHAnsi" w:cstheme="minorHAnsi"/>
              </w:rPr>
              <w:t xml:space="preserve"> </w:t>
            </w:r>
            <w:r w:rsidRPr="00DE7613">
              <w:rPr>
                <w:rFonts w:asciiTheme="minorHAnsi" w:hAnsiTheme="minorHAnsi" w:cstheme="minorHAnsi"/>
              </w:rPr>
              <w:t>rozporządzenia Prezesa Rady Ministrów z dnia 20 czerwca 2002 r. (Dz. U. z 2016 r. poz. 283)</w:t>
            </w:r>
            <w:r>
              <w:rPr>
                <w:rFonts w:asciiTheme="minorHAnsi" w:hAnsiTheme="minorHAnsi" w:cstheme="minorHAnsi"/>
              </w:rPr>
              <w:t xml:space="preserve"> </w:t>
            </w:r>
            <w:r w:rsidRPr="00DE7613">
              <w:rPr>
                <w:rFonts w:asciiTheme="minorHAnsi" w:hAnsiTheme="minorHAnsi" w:cstheme="minorHAnsi"/>
              </w:rPr>
              <w:t xml:space="preserve">– zgodnie z § 4 ust. 3 w związku z § 132 – odsyłanie do nich nie </w:t>
            </w:r>
            <w:r w:rsidRPr="00F72BCA">
              <w:rPr>
                <w:rFonts w:asciiTheme="minorHAnsi" w:hAnsiTheme="minorHAnsi" w:cstheme="minorHAnsi"/>
              </w:rPr>
              <w:t>jest poprawne.</w:t>
            </w:r>
          </w:p>
          <w:p w14:paraId="36E07F49" w14:textId="7BD1629B" w:rsidR="00DE7613" w:rsidRPr="00F72BCA" w:rsidRDefault="00DE7613" w:rsidP="00DE7613">
            <w:pPr>
              <w:jc w:val="both"/>
              <w:rPr>
                <w:rFonts w:asciiTheme="minorHAnsi" w:hAnsiTheme="minorHAnsi" w:cstheme="minorHAnsi"/>
              </w:rPr>
            </w:pPr>
            <w:r w:rsidRPr="00F72BCA">
              <w:rPr>
                <w:rFonts w:asciiTheme="minorHAnsi" w:hAnsiTheme="minorHAnsi" w:cstheme="minorHAnsi"/>
              </w:rPr>
              <w:t>Co więcej – przytoczone dokumenty i normy nie posiadają tłumaczenia na jeżyk polski, a część z nich jest odpłatna (np. normy zawarte w pkt 2 – jednostki [11]-[25]).</w:t>
            </w:r>
          </w:p>
          <w:p w14:paraId="09ACF32C" w14:textId="7EE2E1C9" w:rsidR="00DE7613" w:rsidRPr="001A36A1" w:rsidRDefault="00DE7613" w:rsidP="00DE7613">
            <w:pPr>
              <w:jc w:val="both"/>
              <w:rPr>
                <w:rFonts w:asciiTheme="minorHAnsi" w:hAnsiTheme="minorHAnsi" w:cstheme="minorHAnsi"/>
              </w:rPr>
            </w:pPr>
            <w:r w:rsidRPr="00F72BCA">
              <w:rPr>
                <w:rFonts w:asciiTheme="minorHAnsi" w:hAnsiTheme="minorHAnsi" w:cstheme="minorHAnsi"/>
              </w:rPr>
              <w:t xml:space="preserve">Projektowane rozporządzenie przewiduje jednocześnie w wielu miejscach odesłania do – przykładowo – „nadawania zgodnie z </w:t>
            </w:r>
            <w:r w:rsidRPr="00DE7613">
              <w:rPr>
                <w:rFonts w:asciiTheme="minorHAnsi" w:hAnsiTheme="minorHAnsi" w:cstheme="minorHAnsi"/>
              </w:rPr>
              <w:t>normą…”, „parametrów zgodnych z normą…”,</w:t>
            </w:r>
            <w:r>
              <w:rPr>
                <w:rFonts w:asciiTheme="minorHAnsi" w:hAnsiTheme="minorHAnsi" w:cstheme="minorHAnsi"/>
              </w:rPr>
              <w:t xml:space="preserve"> </w:t>
            </w:r>
            <w:r w:rsidRPr="00DE7613">
              <w:rPr>
                <w:rFonts w:asciiTheme="minorHAnsi" w:hAnsiTheme="minorHAnsi" w:cstheme="minorHAnsi"/>
              </w:rPr>
              <w:t>„definicji zawartych w normie…”, itp. Tym samym takie ukształtowanie regulacji prawa</w:t>
            </w:r>
            <w:r>
              <w:rPr>
                <w:rFonts w:asciiTheme="minorHAnsi" w:hAnsiTheme="minorHAnsi" w:cstheme="minorHAnsi"/>
              </w:rPr>
              <w:t xml:space="preserve"> </w:t>
            </w:r>
            <w:r w:rsidRPr="00DE7613">
              <w:rPr>
                <w:rFonts w:asciiTheme="minorHAnsi" w:hAnsiTheme="minorHAnsi" w:cstheme="minorHAnsi"/>
              </w:rPr>
              <w:t>krajowego może stwarzać trudności we właściwym odczytaniu treści wymagań</w:t>
            </w:r>
            <w:r>
              <w:rPr>
                <w:rFonts w:asciiTheme="minorHAnsi" w:hAnsiTheme="minorHAnsi" w:cstheme="minorHAnsi"/>
              </w:rPr>
              <w:t xml:space="preserve"> </w:t>
            </w:r>
            <w:r w:rsidRPr="00DE7613">
              <w:rPr>
                <w:rFonts w:asciiTheme="minorHAnsi" w:hAnsiTheme="minorHAnsi" w:cstheme="minorHAnsi"/>
              </w:rPr>
              <w:t>ustanawianych w projekcie rozporządzenia.</w:t>
            </w:r>
          </w:p>
        </w:tc>
        <w:tc>
          <w:tcPr>
            <w:tcW w:w="4521" w:type="dxa"/>
            <w:vAlign w:val="center"/>
          </w:tcPr>
          <w:p w14:paraId="6E412D44" w14:textId="7957067C" w:rsidR="000A26CD" w:rsidRDefault="000A26CD" w:rsidP="000A26CD">
            <w:pPr>
              <w:jc w:val="both"/>
              <w:rPr>
                <w:rFonts w:asciiTheme="minorHAnsi" w:hAnsiTheme="minorHAnsi" w:cstheme="minorHAnsi"/>
              </w:rPr>
            </w:pPr>
            <w:r>
              <w:rPr>
                <w:rFonts w:asciiTheme="minorHAnsi" w:hAnsiTheme="minorHAnsi" w:cstheme="minorHAnsi"/>
              </w:rPr>
              <w:t xml:space="preserve">Uwaga </w:t>
            </w:r>
            <w:r w:rsidR="007D002C">
              <w:rPr>
                <w:rFonts w:asciiTheme="minorHAnsi" w:hAnsiTheme="minorHAnsi" w:cstheme="minorHAnsi"/>
              </w:rPr>
              <w:t>nie</w:t>
            </w:r>
            <w:r>
              <w:rPr>
                <w:rFonts w:asciiTheme="minorHAnsi" w:hAnsiTheme="minorHAnsi" w:cstheme="minorHAnsi"/>
              </w:rPr>
              <w:t>uwzględniona.</w:t>
            </w:r>
          </w:p>
          <w:p w14:paraId="7B513FF9" w14:textId="78CFD275" w:rsidR="000A26CD" w:rsidRDefault="000A26CD" w:rsidP="000A26CD">
            <w:pPr>
              <w:jc w:val="both"/>
              <w:rPr>
                <w:rFonts w:asciiTheme="minorHAnsi" w:hAnsiTheme="minorHAnsi" w:cstheme="minorHAnsi"/>
              </w:rPr>
            </w:pPr>
            <w:r>
              <w:rPr>
                <w:rFonts w:asciiTheme="minorHAnsi" w:hAnsiTheme="minorHAnsi" w:cstheme="minorHAnsi"/>
              </w:rPr>
              <w:t>Odwołania do norm w języku angielskim wynikają z braku tłumaczeń tych norm</w:t>
            </w:r>
            <w:r w:rsidR="0022093B">
              <w:rPr>
                <w:rFonts w:asciiTheme="minorHAnsi" w:hAnsiTheme="minorHAnsi" w:cstheme="minorHAnsi"/>
              </w:rPr>
              <w:t xml:space="preserve"> - nie </w:t>
            </w:r>
            <w:r w:rsidRPr="000A26CD">
              <w:rPr>
                <w:rFonts w:asciiTheme="minorHAnsi" w:hAnsiTheme="minorHAnsi" w:cstheme="minorHAnsi"/>
              </w:rPr>
              <w:t xml:space="preserve">zostały </w:t>
            </w:r>
            <w:r>
              <w:rPr>
                <w:rFonts w:asciiTheme="minorHAnsi" w:hAnsiTheme="minorHAnsi" w:cstheme="minorHAnsi"/>
              </w:rPr>
              <w:t xml:space="preserve">one </w:t>
            </w:r>
            <w:r w:rsidRPr="000A26CD">
              <w:rPr>
                <w:rFonts w:asciiTheme="minorHAnsi" w:hAnsiTheme="minorHAnsi" w:cstheme="minorHAnsi"/>
              </w:rPr>
              <w:t>dotąd przetłumaczone przez PKN. W obrocie normy te nie funkcjonują pod polskimi tytułami.</w:t>
            </w:r>
          </w:p>
          <w:p w14:paraId="73349F54" w14:textId="7FFF34EE" w:rsidR="000A26CD" w:rsidRDefault="000A26CD" w:rsidP="000A26CD">
            <w:pPr>
              <w:jc w:val="both"/>
              <w:rPr>
                <w:rFonts w:asciiTheme="minorHAnsi" w:hAnsiTheme="minorHAnsi" w:cstheme="minorHAnsi"/>
              </w:rPr>
            </w:pPr>
            <w:r w:rsidRPr="000A26CD">
              <w:rPr>
                <w:rFonts w:asciiTheme="minorHAnsi" w:hAnsiTheme="minorHAnsi" w:cstheme="minorHAnsi"/>
              </w:rPr>
              <w:t>Używanie wskazanych odpowiednich fragmentów norm i przenoszenie ich do rozporządzenia</w:t>
            </w:r>
            <w:r>
              <w:rPr>
                <w:rFonts w:asciiTheme="minorHAnsi" w:hAnsiTheme="minorHAnsi" w:cstheme="minorHAnsi"/>
              </w:rPr>
              <w:t xml:space="preserve"> jest niecelowe, gdyż czyniłoby rozporządzenie nadmiernie obszernym i mniej czytelnym. </w:t>
            </w:r>
            <w:r w:rsidRPr="000A26CD">
              <w:rPr>
                <w:rFonts w:asciiTheme="minorHAnsi" w:hAnsiTheme="minorHAnsi" w:cstheme="minorHAnsi"/>
              </w:rPr>
              <w:t>Rozporządzenie adresowane jest do podmiotów profesjonalnych, które w swojej bieżącej działalności zawodowej posługują się normami w języku angielskim, odwołanie do takich norm nie będzie stanowić trudności w stosowaniu rozporządzenia w praktyce.</w:t>
            </w:r>
            <w:r>
              <w:rPr>
                <w:rFonts w:asciiTheme="minorHAnsi" w:hAnsiTheme="minorHAnsi" w:cstheme="minorHAnsi"/>
              </w:rPr>
              <w:t xml:space="preserve"> </w:t>
            </w:r>
          </w:p>
          <w:p w14:paraId="1D1CE89C" w14:textId="1ECC3C36" w:rsidR="000A26CD" w:rsidRDefault="000A26CD" w:rsidP="000A26CD">
            <w:pPr>
              <w:jc w:val="both"/>
              <w:rPr>
                <w:rFonts w:asciiTheme="minorHAnsi" w:hAnsiTheme="minorHAnsi" w:cstheme="minorHAnsi"/>
              </w:rPr>
            </w:pPr>
            <w:r>
              <w:rPr>
                <w:rFonts w:asciiTheme="minorHAnsi" w:hAnsiTheme="minorHAnsi" w:cstheme="minorHAnsi"/>
              </w:rPr>
              <w:t>Uzupełniono odwołania do norm o wskazanie konkretnych jednostek redakcyjnych, które będą mieć zastosowanie.</w:t>
            </w:r>
          </w:p>
          <w:p w14:paraId="4AF985B9" w14:textId="7AF4CCC8" w:rsidR="00DE7613" w:rsidRPr="00A15A71" w:rsidRDefault="00DE7613" w:rsidP="000A26CD">
            <w:pPr>
              <w:jc w:val="both"/>
              <w:rPr>
                <w:rFonts w:asciiTheme="minorHAnsi" w:hAnsiTheme="minorHAnsi" w:cstheme="minorHAnsi"/>
              </w:rPr>
            </w:pPr>
          </w:p>
        </w:tc>
      </w:tr>
      <w:tr w:rsidR="00DE7613" w:rsidRPr="00192EA5" w14:paraId="4263259F" w14:textId="77777777" w:rsidTr="007D002C">
        <w:trPr>
          <w:trHeight w:val="6348"/>
          <w:jc w:val="center"/>
        </w:trPr>
        <w:tc>
          <w:tcPr>
            <w:tcW w:w="675" w:type="dxa"/>
            <w:vAlign w:val="center"/>
          </w:tcPr>
          <w:p w14:paraId="213F8942" w14:textId="7914674F" w:rsidR="00DE7613" w:rsidRDefault="00671CD8" w:rsidP="00370DA3">
            <w:pPr>
              <w:widowControl w:val="0"/>
              <w:autoSpaceDE w:val="0"/>
              <w:autoSpaceDN w:val="0"/>
              <w:adjustRightInd w:val="0"/>
              <w:spacing w:before="120" w:after="120"/>
              <w:jc w:val="center"/>
              <w:rPr>
                <w:rFonts w:ascii="Calibri" w:hAnsi="Calibri" w:cs="Calibri"/>
                <w:color w:val="000000"/>
                <w:sz w:val="22"/>
                <w:szCs w:val="22"/>
              </w:rPr>
            </w:pPr>
            <w:r>
              <w:rPr>
                <w:rFonts w:ascii="Calibri" w:hAnsi="Calibri" w:cs="Calibri"/>
                <w:color w:val="000000"/>
                <w:sz w:val="22"/>
                <w:szCs w:val="22"/>
              </w:rPr>
              <w:lastRenderedPageBreak/>
              <w:t>9</w:t>
            </w:r>
          </w:p>
        </w:tc>
        <w:tc>
          <w:tcPr>
            <w:tcW w:w="1560" w:type="dxa"/>
            <w:vAlign w:val="center"/>
          </w:tcPr>
          <w:p w14:paraId="1D8178ED" w14:textId="3B11E0FD" w:rsidR="00DE7613" w:rsidRDefault="00DE7613" w:rsidP="007269D4">
            <w:pPr>
              <w:pStyle w:val="Bezodstpw"/>
              <w:jc w:val="center"/>
              <w:rPr>
                <w:rFonts w:asciiTheme="minorHAnsi" w:hAnsiTheme="minorHAnsi" w:cstheme="minorHAnsi"/>
              </w:rPr>
            </w:pPr>
            <w:r>
              <w:rPr>
                <w:rFonts w:asciiTheme="minorHAnsi" w:hAnsiTheme="minorHAnsi" w:cstheme="minorHAnsi"/>
              </w:rPr>
              <w:t>Pkt 2 zał.</w:t>
            </w:r>
          </w:p>
        </w:tc>
        <w:tc>
          <w:tcPr>
            <w:tcW w:w="1917" w:type="dxa"/>
            <w:vAlign w:val="center"/>
          </w:tcPr>
          <w:p w14:paraId="0B08EEAC" w14:textId="70A70CD8" w:rsidR="00DE7613" w:rsidRDefault="00DE7613" w:rsidP="00D44267">
            <w:pPr>
              <w:jc w:val="center"/>
              <w:rPr>
                <w:rFonts w:asciiTheme="minorHAnsi" w:hAnsiTheme="minorHAnsi" w:cstheme="minorHAnsi"/>
              </w:rPr>
            </w:pPr>
            <w:r>
              <w:rPr>
                <w:rFonts w:asciiTheme="minorHAnsi" w:hAnsiTheme="minorHAnsi" w:cstheme="minorHAnsi"/>
              </w:rPr>
              <w:t>RCL</w:t>
            </w:r>
          </w:p>
        </w:tc>
        <w:tc>
          <w:tcPr>
            <w:tcW w:w="4746" w:type="dxa"/>
            <w:vAlign w:val="center"/>
          </w:tcPr>
          <w:p w14:paraId="20AD5ECF" w14:textId="1C610580" w:rsidR="00DE7613" w:rsidRPr="00DE7613" w:rsidRDefault="00293E52" w:rsidP="00DE7613">
            <w:pPr>
              <w:jc w:val="both"/>
              <w:rPr>
                <w:rFonts w:asciiTheme="minorHAnsi" w:hAnsiTheme="minorHAnsi" w:cstheme="minorHAnsi"/>
              </w:rPr>
            </w:pPr>
            <w:r>
              <w:rPr>
                <w:rFonts w:asciiTheme="minorHAnsi" w:hAnsiTheme="minorHAnsi" w:cstheme="minorHAnsi"/>
              </w:rPr>
              <w:t>Z</w:t>
            </w:r>
            <w:r w:rsidR="00DE7613" w:rsidRPr="00DE7613">
              <w:rPr>
                <w:rFonts w:asciiTheme="minorHAnsi" w:hAnsiTheme="minorHAnsi" w:cstheme="minorHAnsi"/>
              </w:rPr>
              <w:t>awarte w pkt 2 załącznika wykazy norm</w:t>
            </w:r>
            <w:r w:rsidR="00DE7613">
              <w:rPr>
                <w:rFonts w:asciiTheme="minorHAnsi" w:hAnsiTheme="minorHAnsi" w:cstheme="minorHAnsi"/>
              </w:rPr>
              <w:t xml:space="preserve"> </w:t>
            </w:r>
            <w:r w:rsidR="00DE7613" w:rsidRPr="00DE7613">
              <w:rPr>
                <w:rFonts w:asciiTheme="minorHAnsi" w:hAnsiTheme="minorHAnsi" w:cstheme="minorHAnsi"/>
              </w:rPr>
              <w:t>i dokumentów (ich oznaczenia/wersje) są bardziej szczegółowe niż odesłania do nich</w:t>
            </w:r>
            <w:r w:rsidR="00DE7613">
              <w:rPr>
                <w:rFonts w:asciiTheme="minorHAnsi" w:hAnsiTheme="minorHAnsi" w:cstheme="minorHAnsi"/>
              </w:rPr>
              <w:t xml:space="preserve"> </w:t>
            </w:r>
            <w:r w:rsidR="00DE7613" w:rsidRPr="00DE7613">
              <w:rPr>
                <w:rFonts w:asciiTheme="minorHAnsi" w:hAnsiTheme="minorHAnsi" w:cstheme="minorHAnsi"/>
              </w:rPr>
              <w:t>w kolejnych przepisach załącznika. Jednocześnie projektowane rozporządzenie nie zawiera</w:t>
            </w:r>
          </w:p>
          <w:p w14:paraId="3EC85BAA" w14:textId="0EB65921" w:rsidR="00DE7613" w:rsidRPr="00DE7613" w:rsidRDefault="00DE7613" w:rsidP="00DE7613">
            <w:pPr>
              <w:jc w:val="both"/>
              <w:rPr>
                <w:rFonts w:asciiTheme="minorHAnsi" w:hAnsiTheme="minorHAnsi" w:cstheme="minorHAnsi"/>
              </w:rPr>
            </w:pPr>
            <w:r w:rsidRPr="00DE7613">
              <w:rPr>
                <w:rFonts w:asciiTheme="minorHAnsi" w:hAnsiTheme="minorHAnsi" w:cstheme="minorHAnsi"/>
              </w:rPr>
              <w:t>regulacji, na wzór przepisu zamieszczonego w obecnie jeszcze obowiązującym</w:t>
            </w:r>
            <w:r>
              <w:rPr>
                <w:rFonts w:asciiTheme="minorHAnsi" w:hAnsiTheme="minorHAnsi" w:cstheme="minorHAnsi"/>
              </w:rPr>
              <w:t xml:space="preserve"> </w:t>
            </w:r>
            <w:r w:rsidRPr="00DE7613">
              <w:rPr>
                <w:rFonts w:asciiTheme="minorHAnsi" w:hAnsiTheme="minorHAnsi" w:cstheme="minorHAnsi"/>
              </w:rPr>
              <w:t>rozporządzeniu Ministra Administracji i Cyfryzacji z dnia 7 lipca 2015 r. w sprawie wymagań</w:t>
            </w:r>
            <w:r>
              <w:rPr>
                <w:rFonts w:asciiTheme="minorHAnsi" w:hAnsiTheme="minorHAnsi" w:cstheme="minorHAnsi"/>
              </w:rPr>
              <w:t xml:space="preserve"> </w:t>
            </w:r>
            <w:r w:rsidRPr="00DE7613">
              <w:rPr>
                <w:rFonts w:asciiTheme="minorHAnsi" w:hAnsiTheme="minorHAnsi" w:cstheme="minorHAnsi"/>
              </w:rPr>
              <w:t>technicznych i eksploatacyjnych dla odbiorników cyfrowych (Dz. U. z 2017 r. poz. 1092),</w:t>
            </w:r>
          </w:p>
          <w:p w14:paraId="017648EA" w14:textId="1BC0806F" w:rsidR="00DE7613" w:rsidRPr="00DE7613" w:rsidRDefault="00DE7613" w:rsidP="00DE7613">
            <w:pPr>
              <w:jc w:val="both"/>
              <w:rPr>
                <w:rFonts w:asciiTheme="minorHAnsi" w:hAnsiTheme="minorHAnsi" w:cstheme="minorHAnsi"/>
              </w:rPr>
            </w:pPr>
            <w:r w:rsidRPr="00DE7613">
              <w:rPr>
                <w:rFonts w:asciiTheme="minorHAnsi" w:hAnsiTheme="minorHAnsi" w:cstheme="minorHAnsi"/>
              </w:rPr>
              <w:t>przesądzającej o stosowaniu najnowszej wersji dokumentu w przypadku, gdy wykaz nie</w:t>
            </w:r>
            <w:r>
              <w:rPr>
                <w:rFonts w:asciiTheme="minorHAnsi" w:hAnsiTheme="minorHAnsi" w:cstheme="minorHAnsi"/>
              </w:rPr>
              <w:t xml:space="preserve"> </w:t>
            </w:r>
            <w:r w:rsidRPr="00DE7613">
              <w:rPr>
                <w:rFonts w:asciiTheme="minorHAnsi" w:hAnsiTheme="minorHAnsi" w:cstheme="minorHAnsi"/>
              </w:rPr>
              <w:t>zawiera odesłania do konkretnej wersji dokumentu, czy o niestosowaniu kolejnych wersji</w:t>
            </w:r>
            <w:r>
              <w:rPr>
                <w:rFonts w:asciiTheme="minorHAnsi" w:hAnsiTheme="minorHAnsi" w:cstheme="minorHAnsi"/>
              </w:rPr>
              <w:t xml:space="preserve"> </w:t>
            </w:r>
            <w:r w:rsidRPr="00DE7613">
              <w:rPr>
                <w:rFonts w:asciiTheme="minorHAnsi" w:hAnsiTheme="minorHAnsi" w:cstheme="minorHAnsi"/>
              </w:rPr>
              <w:t>dokumentu (identyfikowanych przez datę publikacji, numer edycji, itp.), gdy w wykazie</w:t>
            </w:r>
            <w:r>
              <w:rPr>
                <w:rFonts w:asciiTheme="minorHAnsi" w:hAnsiTheme="minorHAnsi" w:cstheme="minorHAnsi"/>
              </w:rPr>
              <w:t xml:space="preserve"> </w:t>
            </w:r>
            <w:r w:rsidRPr="00DE7613">
              <w:rPr>
                <w:rFonts w:asciiTheme="minorHAnsi" w:hAnsiTheme="minorHAnsi" w:cstheme="minorHAnsi"/>
              </w:rPr>
              <w:t>zawarto odesłanie do konkretnej wersji dokumentu.</w:t>
            </w:r>
          </w:p>
          <w:p w14:paraId="70B8F667" w14:textId="7B21150C" w:rsidR="00DE7613" w:rsidRPr="00DE7613" w:rsidRDefault="00DE7613" w:rsidP="00DE7613">
            <w:pPr>
              <w:jc w:val="both"/>
              <w:rPr>
                <w:rFonts w:asciiTheme="minorHAnsi" w:hAnsiTheme="minorHAnsi" w:cstheme="minorHAnsi"/>
              </w:rPr>
            </w:pPr>
            <w:r w:rsidRPr="00DE7613">
              <w:rPr>
                <w:rFonts w:asciiTheme="minorHAnsi" w:hAnsiTheme="minorHAnsi" w:cstheme="minorHAnsi"/>
              </w:rPr>
              <w:t>Zasadne wydaje się uzupełnienie powyższej kwestii, jak również zamieszczenie</w:t>
            </w:r>
            <w:r>
              <w:rPr>
                <w:rFonts w:asciiTheme="minorHAnsi" w:hAnsiTheme="minorHAnsi" w:cstheme="minorHAnsi"/>
              </w:rPr>
              <w:t xml:space="preserve"> </w:t>
            </w:r>
            <w:r w:rsidRPr="00DE7613">
              <w:rPr>
                <w:rFonts w:asciiTheme="minorHAnsi" w:hAnsiTheme="minorHAnsi" w:cstheme="minorHAnsi"/>
              </w:rPr>
              <w:t>w projekcie rozporządzenia przepisu wskazującego na miejsce publikacji konkretnych</w:t>
            </w:r>
            <w:r>
              <w:rPr>
                <w:rFonts w:asciiTheme="minorHAnsi" w:hAnsiTheme="minorHAnsi" w:cstheme="minorHAnsi"/>
              </w:rPr>
              <w:t xml:space="preserve"> </w:t>
            </w:r>
            <w:r w:rsidRPr="00DE7613">
              <w:rPr>
                <w:rFonts w:asciiTheme="minorHAnsi" w:hAnsiTheme="minorHAnsi" w:cstheme="minorHAnsi"/>
              </w:rPr>
              <w:t>dokumentów oraz ich ewentualną odpłatność.</w:t>
            </w:r>
          </w:p>
        </w:tc>
        <w:tc>
          <w:tcPr>
            <w:tcW w:w="4521" w:type="dxa"/>
            <w:vAlign w:val="center"/>
          </w:tcPr>
          <w:p w14:paraId="13DE59CD" w14:textId="77777777" w:rsidR="00293E52" w:rsidRDefault="00293E52" w:rsidP="005F6E6A">
            <w:pPr>
              <w:jc w:val="both"/>
              <w:rPr>
                <w:rFonts w:asciiTheme="minorHAnsi" w:hAnsiTheme="minorHAnsi" w:cstheme="minorHAnsi"/>
              </w:rPr>
            </w:pPr>
            <w:r>
              <w:rPr>
                <w:rFonts w:asciiTheme="minorHAnsi" w:hAnsiTheme="minorHAnsi" w:cstheme="minorHAnsi"/>
              </w:rPr>
              <w:t>Uwaga uwzględniona.</w:t>
            </w:r>
          </w:p>
          <w:p w14:paraId="5AE2818B" w14:textId="511CC841" w:rsidR="00293E52" w:rsidRDefault="00865B84" w:rsidP="005F6E6A">
            <w:pPr>
              <w:jc w:val="both"/>
              <w:rPr>
                <w:rFonts w:asciiTheme="minorHAnsi" w:hAnsiTheme="minorHAnsi" w:cstheme="minorHAnsi"/>
              </w:rPr>
            </w:pPr>
            <w:r>
              <w:rPr>
                <w:rFonts w:asciiTheme="minorHAnsi" w:hAnsiTheme="minorHAnsi" w:cstheme="minorHAnsi"/>
              </w:rPr>
              <w:t>Wprowadzono zapis</w:t>
            </w:r>
            <w:r w:rsidR="00293E52">
              <w:rPr>
                <w:rFonts w:asciiTheme="minorHAnsi" w:hAnsiTheme="minorHAnsi" w:cstheme="minorHAnsi"/>
              </w:rPr>
              <w:t>y</w:t>
            </w:r>
            <w:r>
              <w:rPr>
                <w:rFonts w:asciiTheme="minorHAnsi" w:hAnsiTheme="minorHAnsi" w:cstheme="minorHAnsi"/>
              </w:rPr>
              <w:t xml:space="preserve"> do załącznika projektu rozporządz</w:t>
            </w:r>
            <w:r w:rsidR="005F6E6A">
              <w:rPr>
                <w:rFonts w:asciiTheme="minorHAnsi" w:hAnsiTheme="minorHAnsi" w:cstheme="minorHAnsi"/>
              </w:rPr>
              <w:t xml:space="preserve">enia </w:t>
            </w:r>
            <w:r w:rsidR="00293E52">
              <w:rPr>
                <w:rFonts w:asciiTheme="minorHAnsi" w:hAnsiTheme="minorHAnsi" w:cstheme="minorHAnsi"/>
              </w:rPr>
              <w:t xml:space="preserve">(pkt 2.1-2.7) </w:t>
            </w:r>
            <w:r w:rsidR="005F6E6A">
              <w:rPr>
                <w:rFonts w:asciiTheme="minorHAnsi" w:hAnsiTheme="minorHAnsi" w:cstheme="minorHAnsi"/>
              </w:rPr>
              <w:t>dotycząc</w:t>
            </w:r>
            <w:r w:rsidR="00293E52">
              <w:rPr>
                <w:rFonts w:asciiTheme="minorHAnsi" w:hAnsiTheme="minorHAnsi" w:cstheme="minorHAnsi"/>
              </w:rPr>
              <w:t>e</w:t>
            </w:r>
            <w:r w:rsidR="005F6E6A">
              <w:rPr>
                <w:rFonts w:asciiTheme="minorHAnsi" w:hAnsiTheme="minorHAnsi" w:cstheme="minorHAnsi"/>
              </w:rPr>
              <w:t xml:space="preserve"> dostępności norm</w:t>
            </w:r>
            <w:r w:rsidR="00453F94">
              <w:rPr>
                <w:rFonts w:asciiTheme="minorHAnsi" w:hAnsiTheme="minorHAnsi" w:cstheme="minorHAnsi"/>
              </w:rPr>
              <w:t xml:space="preserve"> i ich ewentualnej odpłatności</w:t>
            </w:r>
            <w:r w:rsidR="005F6E6A">
              <w:rPr>
                <w:rFonts w:asciiTheme="minorHAnsi" w:hAnsiTheme="minorHAnsi" w:cstheme="minorHAnsi"/>
              </w:rPr>
              <w:t xml:space="preserve">. </w:t>
            </w:r>
          </w:p>
          <w:p w14:paraId="658803CD" w14:textId="78330E4D" w:rsidR="00F72BCA" w:rsidRDefault="005F6E6A" w:rsidP="005F6E6A">
            <w:pPr>
              <w:jc w:val="both"/>
              <w:rPr>
                <w:rFonts w:asciiTheme="minorHAnsi" w:hAnsiTheme="minorHAnsi" w:cstheme="minorHAnsi"/>
              </w:rPr>
            </w:pPr>
            <w:r>
              <w:rPr>
                <w:rFonts w:asciiTheme="minorHAnsi" w:hAnsiTheme="minorHAnsi" w:cstheme="minorHAnsi"/>
              </w:rPr>
              <w:t>Wskazano konkretne wersje dokumentów oraz uzupełniono projekt rozporządzenia o informację, że brak wskazania konkretnej wersji normy czy dokumentu odnosi się do aktualnej wersji.</w:t>
            </w:r>
          </w:p>
          <w:p w14:paraId="02D1B6EC" w14:textId="57C9D88D" w:rsidR="00F72BCA" w:rsidRPr="00A15A71" w:rsidRDefault="00F72BCA" w:rsidP="005F6E6A">
            <w:pPr>
              <w:jc w:val="both"/>
              <w:rPr>
                <w:rFonts w:asciiTheme="minorHAnsi" w:hAnsiTheme="minorHAnsi" w:cstheme="minorHAnsi"/>
              </w:rPr>
            </w:pPr>
          </w:p>
        </w:tc>
      </w:tr>
      <w:tr w:rsidR="00DE7613" w:rsidRPr="00192EA5" w14:paraId="316CC321" w14:textId="77777777" w:rsidTr="007D002C">
        <w:trPr>
          <w:trHeight w:val="6348"/>
          <w:jc w:val="center"/>
        </w:trPr>
        <w:tc>
          <w:tcPr>
            <w:tcW w:w="675" w:type="dxa"/>
            <w:vAlign w:val="center"/>
          </w:tcPr>
          <w:p w14:paraId="31442078" w14:textId="5427B87B" w:rsidR="00DE7613" w:rsidRDefault="00671CD8" w:rsidP="00370DA3">
            <w:pPr>
              <w:widowControl w:val="0"/>
              <w:autoSpaceDE w:val="0"/>
              <w:autoSpaceDN w:val="0"/>
              <w:adjustRightInd w:val="0"/>
              <w:spacing w:before="120" w:after="120"/>
              <w:jc w:val="center"/>
              <w:rPr>
                <w:rFonts w:ascii="Calibri" w:hAnsi="Calibri" w:cs="Calibri"/>
                <w:color w:val="000000"/>
                <w:sz w:val="22"/>
                <w:szCs w:val="22"/>
              </w:rPr>
            </w:pPr>
            <w:r>
              <w:rPr>
                <w:rFonts w:ascii="Calibri" w:hAnsi="Calibri" w:cs="Calibri"/>
                <w:color w:val="000000"/>
                <w:sz w:val="22"/>
                <w:szCs w:val="22"/>
              </w:rPr>
              <w:lastRenderedPageBreak/>
              <w:t>10</w:t>
            </w:r>
          </w:p>
        </w:tc>
        <w:tc>
          <w:tcPr>
            <w:tcW w:w="1560" w:type="dxa"/>
            <w:vAlign w:val="center"/>
          </w:tcPr>
          <w:p w14:paraId="1D9E77D5" w14:textId="11FC00C4" w:rsidR="00DE7613" w:rsidRDefault="00DE7613" w:rsidP="007269D4">
            <w:pPr>
              <w:pStyle w:val="Bezodstpw"/>
              <w:jc w:val="center"/>
              <w:rPr>
                <w:rFonts w:asciiTheme="minorHAnsi" w:hAnsiTheme="minorHAnsi" w:cstheme="minorHAnsi"/>
              </w:rPr>
            </w:pPr>
            <w:r>
              <w:rPr>
                <w:rFonts w:asciiTheme="minorHAnsi" w:hAnsiTheme="minorHAnsi" w:cstheme="minorHAnsi"/>
              </w:rPr>
              <w:t>Pkt 2 zał.</w:t>
            </w:r>
          </w:p>
        </w:tc>
        <w:tc>
          <w:tcPr>
            <w:tcW w:w="1917" w:type="dxa"/>
            <w:vAlign w:val="center"/>
          </w:tcPr>
          <w:p w14:paraId="6367F0DB" w14:textId="0BB62317" w:rsidR="00DE7613" w:rsidRDefault="00DE7613" w:rsidP="00D44267">
            <w:pPr>
              <w:jc w:val="center"/>
              <w:rPr>
                <w:rFonts w:asciiTheme="minorHAnsi" w:hAnsiTheme="minorHAnsi" w:cstheme="minorHAnsi"/>
              </w:rPr>
            </w:pPr>
            <w:r>
              <w:rPr>
                <w:rFonts w:asciiTheme="minorHAnsi" w:hAnsiTheme="minorHAnsi" w:cstheme="minorHAnsi"/>
              </w:rPr>
              <w:t>RCL</w:t>
            </w:r>
          </w:p>
        </w:tc>
        <w:tc>
          <w:tcPr>
            <w:tcW w:w="4746" w:type="dxa"/>
            <w:vAlign w:val="center"/>
          </w:tcPr>
          <w:p w14:paraId="258FF088" w14:textId="6EB23352" w:rsidR="00DE7613" w:rsidRPr="00DE7613" w:rsidRDefault="00DE7613" w:rsidP="00DE7613">
            <w:pPr>
              <w:jc w:val="both"/>
              <w:rPr>
                <w:rFonts w:asciiTheme="minorHAnsi" w:hAnsiTheme="minorHAnsi" w:cstheme="minorHAnsi"/>
              </w:rPr>
            </w:pPr>
            <w:r>
              <w:rPr>
                <w:rFonts w:asciiTheme="minorHAnsi" w:hAnsiTheme="minorHAnsi" w:cstheme="minorHAnsi"/>
              </w:rPr>
              <w:t>Z</w:t>
            </w:r>
            <w:r w:rsidRPr="00DE7613">
              <w:rPr>
                <w:rFonts w:asciiTheme="minorHAnsi" w:hAnsiTheme="minorHAnsi" w:cstheme="minorHAnsi"/>
              </w:rPr>
              <w:t>auważenia wymaga, że obok tytułów obcojęzycznych norm</w:t>
            </w:r>
            <w:r>
              <w:rPr>
                <w:rFonts w:asciiTheme="minorHAnsi" w:hAnsiTheme="minorHAnsi" w:cstheme="minorHAnsi"/>
              </w:rPr>
              <w:t xml:space="preserve"> </w:t>
            </w:r>
            <w:r w:rsidRPr="00DE7613">
              <w:rPr>
                <w:rFonts w:asciiTheme="minorHAnsi" w:hAnsiTheme="minorHAnsi" w:cstheme="minorHAnsi"/>
              </w:rPr>
              <w:t>i dokumentów zamieszczonych w ww. pkt 2, nie zamieszczono ich tłumaczenia na język</w:t>
            </w:r>
            <w:r>
              <w:rPr>
                <w:rFonts w:asciiTheme="minorHAnsi" w:hAnsiTheme="minorHAnsi" w:cstheme="minorHAnsi"/>
              </w:rPr>
              <w:t xml:space="preserve"> </w:t>
            </w:r>
            <w:r w:rsidRPr="00DE7613">
              <w:rPr>
                <w:rFonts w:asciiTheme="minorHAnsi" w:hAnsiTheme="minorHAnsi" w:cstheme="minorHAnsi"/>
              </w:rPr>
              <w:t>polski. Nie uczyniono tego również w stosunku do pojawiających się na gruncie załącznika</w:t>
            </w:r>
            <w:r>
              <w:rPr>
                <w:rFonts w:asciiTheme="minorHAnsi" w:hAnsiTheme="minorHAnsi" w:cstheme="minorHAnsi"/>
              </w:rPr>
              <w:t xml:space="preserve"> </w:t>
            </w:r>
            <w:r w:rsidRPr="00DE7613">
              <w:rPr>
                <w:rFonts w:asciiTheme="minorHAnsi" w:hAnsiTheme="minorHAnsi" w:cstheme="minorHAnsi"/>
              </w:rPr>
              <w:t xml:space="preserve">pojęć obcych, np. </w:t>
            </w:r>
            <w:r w:rsidRPr="00B63F0F">
              <w:rPr>
                <w:rFonts w:asciiTheme="minorHAnsi" w:hAnsiTheme="minorHAnsi" w:cstheme="minorHAnsi"/>
              </w:rPr>
              <w:t>„</w:t>
            </w:r>
            <w:proofErr w:type="spellStart"/>
            <w:r w:rsidRPr="00B63F0F">
              <w:rPr>
                <w:rFonts w:asciiTheme="minorHAnsi" w:hAnsiTheme="minorHAnsi" w:cstheme="minorHAnsi"/>
              </w:rPr>
              <w:t>announcement</w:t>
            </w:r>
            <w:proofErr w:type="spellEnd"/>
            <w:r w:rsidRPr="00B63F0F">
              <w:rPr>
                <w:rFonts w:asciiTheme="minorHAnsi" w:hAnsiTheme="minorHAnsi" w:cstheme="minorHAnsi"/>
              </w:rPr>
              <w:t>”, „</w:t>
            </w:r>
            <w:proofErr w:type="spellStart"/>
            <w:r w:rsidRPr="00B63F0F">
              <w:rPr>
                <w:rFonts w:asciiTheme="minorHAnsi" w:hAnsiTheme="minorHAnsi" w:cstheme="minorHAnsi"/>
              </w:rPr>
              <w:t>Journaline</w:t>
            </w:r>
            <w:proofErr w:type="spellEnd"/>
            <w:r w:rsidRPr="00B63F0F">
              <w:rPr>
                <w:rFonts w:asciiTheme="minorHAnsi" w:hAnsiTheme="minorHAnsi" w:cstheme="minorHAnsi"/>
              </w:rPr>
              <w:t xml:space="preserve">”, „service </w:t>
            </w:r>
            <w:proofErr w:type="spellStart"/>
            <w:r w:rsidRPr="00B63F0F">
              <w:rPr>
                <w:rFonts w:asciiTheme="minorHAnsi" w:hAnsiTheme="minorHAnsi" w:cstheme="minorHAnsi"/>
              </w:rPr>
              <w:t>following</w:t>
            </w:r>
            <w:proofErr w:type="spellEnd"/>
            <w:r w:rsidRPr="00B63F0F">
              <w:rPr>
                <w:rFonts w:asciiTheme="minorHAnsi" w:hAnsiTheme="minorHAnsi" w:cstheme="minorHAnsi"/>
              </w:rPr>
              <w:t xml:space="preserve">”. </w:t>
            </w:r>
            <w:r w:rsidRPr="00DE7613">
              <w:rPr>
                <w:rFonts w:asciiTheme="minorHAnsi" w:hAnsiTheme="minorHAnsi" w:cstheme="minorHAnsi"/>
              </w:rPr>
              <w:t>Projekt wymaga</w:t>
            </w:r>
            <w:r>
              <w:rPr>
                <w:rFonts w:asciiTheme="minorHAnsi" w:hAnsiTheme="minorHAnsi" w:cstheme="minorHAnsi"/>
              </w:rPr>
              <w:t xml:space="preserve"> </w:t>
            </w:r>
            <w:r w:rsidRPr="00DE7613">
              <w:rPr>
                <w:rFonts w:asciiTheme="minorHAnsi" w:hAnsiTheme="minorHAnsi" w:cstheme="minorHAnsi"/>
              </w:rPr>
              <w:t>uzupełnienia w tym zakresie (jeżeli przyjąć, iż użycie zwrotów obcojęzycznych jest</w:t>
            </w:r>
            <w:r>
              <w:rPr>
                <w:rFonts w:asciiTheme="minorHAnsi" w:hAnsiTheme="minorHAnsi" w:cstheme="minorHAnsi"/>
              </w:rPr>
              <w:t xml:space="preserve"> </w:t>
            </w:r>
            <w:r w:rsidRPr="00DE7613">
              <w:rPr>
                <w:rFonts w:asciiTheme="minorHAnsi" w:hAnsiTheme="minorHAnsi" w:cstheme="minorHAnsi"/>
              </w:rPr>
              <w:t>konieczne), zgodnie z zasadą unikania posługiwania się w aktach normatywnych określeniami</w:t>
            </w:r>
            <w:r>
              <w:rPr>
                <w:rFonts w:asciiTheme="minorHAnsi" w:hAnsiTheme="minorHAnsi" w:cstheme="minorHAnsi"/>
              </w:rPr>
              <w:t xml:space="preserve"> </w:t>
            </w:r>
            <w:r w:rsidRPr="00DE7613">
              <w:rPr>
                <w:rFonts w:asciiTheme="minorHAnsi" w:hAnsiTheme="minorHAnsi" w:cstheme="minorHAnsi"/>
              </w:rPr>
              <w:t>lub zapożyczeniami obcojęzycznymi mającymi odpowiedniki w języku polskim.</w:t>
            </w:r>
          </w:p>
        </w:tc>
        <w:tc>
          <w:tcPr>
            <w:tcW w:w="4521" w:type="dxa"/>
            <w:vAlign w:val="center"/>
          </w:tcPr>
          <w:p w14:paraId="2A9893BA" w14:textId="750F854F" w:rsidR="00BF0D97" w:rsidRDefault="00BF0D97" w:rsidP="005555B6">
            <w:pPr>
              <w:jc w:val="both"/>
              <w:rPr>
                <w:rFonts w:asciiTheme="minorHAnsi" w:hAnsiTheme="minorHAnsi" w:cstheme="minorHAnsi"/>
              </w:rPr>
            </w:pPr>
            <w:r>
              <w:rPr>
                <w:rFonts w:asciiTheme="minorHAnsi" w:hAnsiTheme="minorHAnsi" w:cstheme="minorHAnsi"/>
              </w:rPr>
              <w:t xml:space="preserve">Uwaga </w:t>
            </w:r>
            <w:r w:rsidR="00AE6EDB">
              <w:rPr>
                <w:rFonts w:asciiTheme="minorHAnsi" w:hAnsiTheme="minorHAnsi" w:cstheme="minorHAnsi"/>
              </w:rPr>
              <w:t xml:space="preserve">częściowo </w:t>
            </w:r>
            <w:r>
              <w:rPr>
                <w:rFonts w:asciiTheme="minorHAnsi" w:hAnsiTheme="minorHAnsi" w:cstheme="minorHAnsi"/>
              </w:rPr>
              <w:t>uwzględniona.</w:t>
            </w:r>
          </w:p>
          <w:p w14:paraId="623A1926" w14:textId="75857169" w:rsidR="00AE6EDB" w:rsidRDefault="00513D42" w:rsidP="00AE6EDB">
            <w:pPr>
              <w:jc w:val="both"/>
              <w:rPr>
                <w:rFonts w:asciiTheme="minorHAnsi" w:hAnsiTheme="minorHAnsi" w:cstheme="minorHAnsi"/>
              </w:rPr>
            </w:pPr>
            <w:r>
              <w:rPr>
                <w:rFonts w:asciiTheme="minorHAnsi" w:hAnsiTheme="minorHAnsi" w:cstheme="minorHAnsi"/>
              </w:rPr>
              <w:t>Wprowadzono tłumaczenia terminów</w:t>
            </w:r>
            <w:r w:rsidR="00AE6EDB">
              <w:rPr>
                <w:rFonts w:asciiTheme="minorHAnsi" w:hAnsiTheme="minorHAnsi" w:cstheme="minorHAnsi"/>
              </w:rPr>
              <w:t xml:space="preserve"> </w:t>
            </w:r>
            <w:proofErr w:type="spellStart"/>
            <w:r w:rsidR="00AE6EDB">
              <w:rPr>
                <w:rFonts w:asciiTheme="minorHAnsi" w:hAnsiTheme="minorHAnsi" w:cstheme="minorHAnsi"/>
              </w:rPr>
              <w:t>announcement</w:t>
            </w:r>
            <w:proofErr w:type="spellEnd"/>
            <w:r w:rsidR="00AE6EDB">
              <w:rPr>
                <w:rFonts w:asciiTheme="minorHAnsi" w:hAnsiTheme="minorHAnsi" w:cstheme="minorHAnsi"/>
              </w:rPr>
              <w:t xml:space="preserve">, service </w:t>
            </w:r>
            <w:proofErr w:type="spellStart"/>
            <w:r w:rsidR="00AE6EDB">
              <w:rPr>
                <w:rFonts w:asciiTheme="minorHAnsi" w:hAnsiTheme="minorHAnsi" w:cstheme="minorHAnsi"/>
              </w:rPr>
              <w:t>following</w:t>
            </w:r>
            <w:proofErr w:type="spellEnd"/>
            <w:r>
              <w:rPr>
                <w:rFonts w:asciiTheme="minorHAnsi" w:hAnsiTheme="minorHAnsi" w:cstheme="minorHAnsi"/>
              </w:rPr>
              <w:t xml:space="preserve"> na język polski</w:t>
            </w:r>
            <w:r w:rsidR="00BE46B4">
              <w:rPr>
                <w:rFonts w:asciiTheme="minorHAnsi" w:hAnsiTheme="minorHAnsi" w:cstheme="minorHAnsi"/>
              </w:rPr>
              <w:t>.</w:t>
            </w:r>
            <w:r w:rsidR="00AE6EDB">
              <w:rPr>
                <w:rFonts w:asciiTheme="minorHAnsi" w:hAnsiTheme="minorHAnsi" w:cstheme="minorHAnsi"/>
              </w:rPr>
              <w:t xml:space="preserve"> Nie wprowadzono tłumaczenia pojęcia </w:t>
            </w:r>
            <w:proofErr w:type="spellStart"/>
            <w:r w:rsidR="00AE6EDB">
              <w:rPr>
                <w:rFonts w:asciiTheme="minorHAnsi" w:hAnsiTheme="minorHAnsi" w:cstheme="minorHAnsi"/>
              </w:rPr>
              <w:t>Journaline</w:t>
            </w:r>
            <w:proofErr w:type="spellEnd"/>
            <w:r w:rsidR="00AE6EDB">
              <w:rPr>
                <w:rFonts w:asciiTheme="minorHAnsi" w:hAnsiTheme="minorHAnsi" w:cstheme="minorHAnsi"/>
              </w:rPr>
              <w:t>, gdyż stanowi ono rejestrowaną nazwę własną Instytutu Fraunhofera.</w:t>
            </w:r>
          </w:p>
          <w:p w14:paraId="1CEA7632" w14:textId="77777777" w:rsidR="00AE6EDB" w:rsidRDefault="00AE6EDB" w:rsidP="00AE6EDB">
            <w:pPr>
              <w:jc w:val="both"/>
              <w:rPr>
                <w:rFonts w:asciiTheme="minorHAnsi" w:hAnsiTheme="minorHAnsi" w:cstheme="minorHAnsi"/>
              </w:rPr>
            </w:pPr>
            <w:r>
              <w:rPr>
                <w:rFonts w:asciiTheme="minorHAnsi" w:hAnsiTheme="minorHAnsi" w:cstheme="minorHAnsi"/>
              </w:rPr>
              <w:t xml:space="preserve">Nie zamieszczono tłumaczeń dokumentów i norm z uwagi na fakt, że normy te nie zostały dotąd przetłumaczone przez PKN. W obrocie normy te nie funkcjonują pod polskimi tytułami. </w:t>
            </w:r>
          </w:p>
          <w:p w14:paraId="1E0B4542" w14:textId="1FC169A8" w:rsidR="00DE7613" w:rsidRPr="00A15A71" w:rsidRDefault="00AE6EDB" w:rsidP="00AE6EDB">
            <w:pPr>
              <w:jc w:val="both"/>
              <w:rPr>
                <w:rFonts w:asciiTheme="minorHAnsi" w:hAnsiTheme="minorHAnsi" w:cstheme="minorHAnsi"/>
              </w:rPr>
            </w:pPr>
            <w:r>
              <w:rPr>
                <w:rFonts w:asciiTheme="minorHAnsi" w:hAnsiTheme="minorHAnsi" w:cstheme="minorHAnsi"/>
              </w:rPr>
              <w:t>Rozporządzenie adresowane jest do podmiotów profesjonalnych, które w swojej bieżącej działalności zawodowej posługują się normami w języku angielskim</w:t>
            </w:r>
            <w:r w:rsidR="00D95215">
              <w:rPr>
                <w:rFonts w:asciiTheme="minorHAnsi" w:hAnsiTheme="minorHAnsi" w:cstheme="minorHAnsi"/>
              </w:rPr>
              <w:t>, odwołanie do takich norm nie będzie stanowić trudności w stosowaniu rozporządzenia w praktyce</w:t>
            </w:r>
            <w:r w:rsidR="00EE62C3">
              <w:rPr>
                <w:rFonts w:asciiTheme="minorHAnsi" w:hAnsiTheme="minorHAnsi" w:cstheme="minorHAnsi"/>
              </w:rPr>
              <w:t>.</w:t>
            </w:r>
          </w:p>
        </w:tc>
      </w:tr>
      <w:tr w:rsidR="00DE7613" w:rsidRPr="00192EA5" w14:paraId="78D446EF" w14:textId="77777777" w:rsidTr="007D002C">
        <w:trPr>
          <w:trHeight w:val="6348"/>
          <w:jc w:val="center"/>
        </w:trPr>
        <w:tc>
          <w:tcPr>
            <w:tcW w:w="675" w:type="dxa"/>
            <w:vAlign w:val="center"/>
          </w:tcPr>
          <w:p w14:paraId="470B1671" w14:textId="69E3AE47" w:rsidR="00DE7613" w:rsidRDefault="00671CD8" w:rsidP="00370DA3">
            <w:pPr>
              <w:widowControl w:val="0"/>
              <w:autoSpaceDE w:val="0"/>
              <w:autoSpaceDN w:val="0"/>
              <w:adjustRightInd w:val="0"/>
              <w:spacing w:before="120" w:after="120"/>
              <w:jc w:val="center"/>
              <w:rPr>
                <w:rFonts w:ascii="Calibri" w:hAnsi="Calibri" w:cs="Calibri"/>
                <w:color w:val="000000"/>
                <w:sz w:val="22"/>
                <w:szCs w:val="22"/>
              </w:rPr>
            </w:pPr>
            <w:r>
              <w:rPr>
                <w:rFonts w:ascii="Calibri" w:hAnsi="Calibri" w:cs="Calibri"/>
                <w:color w:val="000000"/>
                <w:sz w:val="22"/>
                <w:szCs w:val="22"/>
              </w:rPr>
              <w:lastRenderedPageBreak/>
              <w:t>11</w:t>
            </w:r>
          </w:p>
        </w:tc>
        <w:tc>
          <w:tcPr>
            <w:tcW w:w="1560" w:type="dxa"/>
            <w:vAlign w:val="center"/>
          </w:tcPr>
          <w:p w14:paraId="0F68D3B5" w14:textId="02B23717" w:rsidR="00DE7613" w:rsidRDefault="00DE7613" w:rsidP="007269D4">
            <w:pPr>
              <w:pStyle w:val="Bezodstpw"/>
              <w:jc w:val="center"/>
              <w:rPr>
                <w:rFonts w:asciiTheme="minorHAnsi" w:hAnsiTheme="minorHAnsi" w:cstheme="minorHAnsi"/>
              </w:rPr>
            </w:pPr>
            <w:r>
              <w:rPr>
                <w:rFonts w:asciiTheme="minorHAnsi" w:hAnsiTheme="minorHAnsi" w:cstheme="minorHAnsi"/>
              </w:rPr>
              <w:t>Pkt 6, 7, 11</w:t>
            </w:r>
          </w:p>
        </w:tc>
        <w:tc>
          <w:tcPr>
            <w:tcW w:w="1917" w:type="dxa"/>
            <w:vAlign w:val="center"/>
          </w:tcPr>
          <w:p w14:paraId="438E7463" w14:textId="09F80F00" w:rsidR="00DE7613" w:rsidRDefault="00DE7613" w:rsidP="00D44267">
            <w:pPr>
              <w:jc w:val="center"/>
              <w:rPr>
                <w:rFonts w:asciiTheme="minorHAnsi" w:hAnsiTheme="minorHAnsi" w:cstheme="minorHAnsi"/>
              </w:rPr>
            </w:pPr>
            <w:r>
              <w:rPr>
                <w:rFonts w:asciiTheme="minorHAnsi" w:hAnsiTheme="minorHAnsi" w:cstheme="minorHAnsi"/>
              </w:rPr>
              <w:t>RCL</w:t>
            </w:r>
          </w:p>
        </w:tc>
        <w:tc>
          <w:tcPr>
            <w:tcW w:w="4746" w:type="dxa"/>
            <w:vAlign w:val="center"/>
          </w:tcPr>
          <w:p w14:paraId="551921BC" w14:textId="3BBAD05E" w:rsidR="00DE7613" w:rsidRPr="00DE7613" w:rsidRDefault="00DE7613" w:rsidP="00DE7613">
            <w:pPr>
              <w:jc w:val="both"/>
              <w:rPr>
                <w:rFonts w:asciiTheme="minorHAnsi" w:hAnsiTheme="minorHAnsi" w:cstheme="minorHAnsi"/>
              </w:rPr>
            </w:pPr>
            <w:r w:rsidRPr="00DE7613">
              <w:rPr>
                <w:rFonts w:asciiTheme="minorHAnsi" w:hAnsiTheme="minorHAnsi" w:cstheme="minorHAnsi"/>
              </w:rPr>
              <w:t>W pkt 6, 7 i 11 załącznika do projektu rozporządzenia odwołano się wielokrotnie do</w:t>
            </w:r>
            <w:r>
              <w:rPr>
                <w:rFonts w:asciiTheme="minorHAnsi" w:hAnsiTheme="minorHAnsi" w:cstheme="minorHAnsi"/>
              </w:rPr>
              <w:t xml:space="preserve"> </w:t>
            </w:r>
            <w:r w:rsidRPr="00DE7613">
              <w:rPr>
                <w:rFonts w:asciiTheme="minorHAnsi" w:hAnsiTheme="minorHAnsi" w:cstheme="minorHAnsi"/>
              </w:rPr>
              <w:t>pojęcia „odbiornika samochodowego”, przy czym w pkt 1 załącznika, zawierającym</w:t>
            </w:r>
            <w:r>
              <w:rPr>
                <w:rFonts w:asciiTheme="minorHAnsi" w:hAnsiTheme="minorHAnsi" w:cstheme="minorHAnsi"/>
              </w:rPr>
              <w:t xml:space="preserve"> </w:t>
            </w:r>
            <w:r w:rsidRPr="00DE7613">
              <w:rPr>
                <w:rFonts w:asciiTheme="minorHAnsi" w:hAnsiTheme="minorHAnsi" w:cstheme="minorHAnsi"/>
              </w:rPr>
              <w:t>postanowienia ogólne, stanowi się o „urządzeniach wbudowanych do pojazdów kategorii</w:t>
            </w:r>
          </w:p>
          <w:p w14:paraId="4B13C531" w14:textId="719F4204" w:rsidR="00DE7613" w:rsidRDefault="00DE7613" w:rsidP="00DE7613">
            <w:pPr>
              <w:jc w:val="both"/>
              <w:rPr>
                <w:rFonts w:asciiTheme="minorHAnsi" w:hAnsiTheme="minorHAnsi" w:cstheme="minorHAnsi"/>
              </w:rPr>
            </w:pPr>
            <w:r w:rsidRPr="00DE7613">
              <w:rPr>
                <w:rFonts w:asciiTheme="minorHAnsi" w:hAnsiTheme="minorHAnsi" w:cstheme="minorHAnsi"/>
              </w:rPr>
              <w:t xml:space="preserve">M (…)”. Powyższe regulacje należy poddać analizie w celu ich ewentualnego </w:t>
            </w:r>
            <w:proofErr w:type="spellStart"/>
            <w:r w:rsidRPr="00DE7613">
              <w:rPr>
                <w:rFonts w:asciiTheme="minorHAnsi" w:hAnsiTheme="minorHAnsi" w:cstheme="minorHAnsi"/>
              </w:rPr>
              <w:t>uspójnienia</w:t>
            </w:r>
            <w:proofErr w:type="spellEnd"/>
            <w:r w:rsidRPr="00DE7613">
              <w:rPr>
                <w:rFonts w:asciiTheme="minorHAnsi" w:hAnsiTheme="minorHAnsi" w:cstheme="minorHAnsi"/>
              </w:rPr>
              <w:t>,</w:t>
            </w:r>
            <w:r>
              <w:rPr>
                <w:rFonts w:asciiTheme="minorHAnsi" w:hAnsiTheme="minorHAnsi" w:cstheme="minorHAnsi"/>
              </w:rPr>
              <w:t xml:space="preserve"> </w:t>
            </w:r>
            <w:r w:rsidRPr="00DE7613">
              <w:rPr>
                <w:rFonts w:asciiTheme="minorHAnsi" w:hAnsiTheme="minorHAnsi" w:cstheme="minorHAnsi"/>
              </w:rPr>
              <w:t>tym bardziej, iż w przepisach prawa nie występuje pojęcie odbiornika samochodowego.</w:t>
            </w:r>
          </w:p>
        </w:tc>
        <w:tc>
          <w:tcPr>
            <w:tcW w:w="4521" w:type="dxa"/>
            <w:vAlign w:val="center"/>
          </w:tcPr>
          <w:p w14:paraId="452D2002" w14:textId="28FBACF5" w:rsidR="00BF0D97" w:rsidRDefault="00BF0D97" w:rsidP="00DF32D8">
            <w:pPr>
              <w:jc w:val="both"/>
              <w:rPr>
                <w:rFonts w:asciiTheme="minorHAnsi" w:hAnsiTheme="minorHAnsi" w:cstheme="minorHAnsi"/>
              </w:rPr>
            </w:pPr>
            <w:r>
              <w:rPr>
                <w:rFonts w:asciiTheme="minorHAnsi" w:hAnsiTheme="minorHAnsi" w:cstheme="minorHAnsi"/>
              </w:rPr>
              <w:t>Uwaga uwzględniona.</w:t>
            </w:r>
          </w:p>
          <w:p w14:paraId="5080D0BA" w14:textId="3FB9DC14" w:rsidR="00F55103" w:rsidRPr="00A15A71" w:rsidRDefault="00BF0D97" w:rsidP="00BF0D97">
            <w:pPr>
              <w:jc w:val="both"/>
              <w:rPr>
                <w:rFonts w:asciiTheme="minorHAnsi" w:hAnsiTheme="minorHAnsi" w:cstheme="minorHAnsi"/>
              </w:rPr>
            </w:pPr>
            <w:r>
              <w:rPr>
                <w:rFonts w:asciiTheme="minorHAnsi" w:hAnsiTheme="minorHAnsi" w:cstheme="minorHAnsi"/>
              </w:rPr>
              <w:t>W pkt 3 dodano definicję odbiornika samochodowego, zgodną z definicją wynikającą z ustawy Prawo o ruchu drogowym.</w:t>
            </w:r>
          </w:p>
        </w:tc>
      </w:tr>
      <w:tr w:rsidR="00DE7613" w:rsidRPr="00192EA5" w14:paraId="46388F3F" w14:textId="77777777" w:rsidTr="007D002C">
        <w:trPr>
          <w:trHeight w:val="6348"/>
          <w:jc w:val="center"/>
        </w:trPr>
        <w:tc>
          <w:tcPr>
            <w:tcW w:w="675" w:type="dxa"/>
            <w:vAlign w:val="center"/>
          </w:tcPr>
          <w:p w14:paraId="73185661" w14:textId="6F31C2E4" w:rsidR="00DE7613" w:rsidRDefault="00671CD8" w:rsidP="00370DA3">
            <w:pPr>
              <w:widowControl w:val="0"/>
              <w:autoSpaceDE w:val="0"/>
              <w:autoSpaceDN w:val="0"/>
              <w:adjustRightInd w:val="0"/>
              <w:spacing w:before="120" w:after="120"/>
              <w:jc w:val="center"/>
              <w:rPr>
                <w:rFonts w:ascii="Calibri" w:hAnsi="Calibri" w:cs="Calibri"/>
                <w:color w:val="000000"/>
                <w:sz w:val="22"/>
                <w:szCs w:val="22"/>
              </w:rPr>
            </w:pPr>
            <w:r>
              <w:rPr>
                <w:rFonts w:ascii="Calibri" w:hAnsi="Calibri" w:cs="Calibri"/>
                <w:color w:val="000000"/>
                <w:sz w:val="22"/>
                <w:szCs w:val="22"/>
              </w:rPr>
              <w:lastRenderedPageBreak/>
              <w:t>12</w:t>
            </w:r>
          </w:p>
        </w:tc>
        <w:tc>
          <w:tcPr>
            <w:tcW w:w="1560" w:type="dxa"/>
            <w:vAlign w:val="center"/>
          </w:tcPr>
          <w:p w14:paraId="07B6A940" w14:textId="409F3A25" w:rsidR="00DE7613" w:rsidRDefault="00DE7613" w:rsidP="007269D4">
            <w:pPr>
              <w:pStyle w:val="Bezodstpw"/>
              <w:jc w:val="center"/>
              <w:rPr>
                <w:rFonts w:asciiTheme="minorHAnsi" w:hAnsiTheme="minorHAnsi" w:cstheme="minorHAnsi"/>
              </w:rPr>
            </w:pPr>
            <w:r>
              <w:rPr>
                <w:rFonts w:asciiTheme="minorHAnsi" w:hAnsiTheme="minorHAnsi" w:cstheme="minorHAnsi"/>
              </w:rPr>
              <w:t>Pkt 7</w:t>
            </w:r>
          </w:p>
        </w:tc>
        <w:tc>
          <w:tcPr>
            <w:tcW w:w="1917" w:type="dxa"/>
            <w:vAlign w:val="center"/>
          </w:tcPr>
          <w:p w14:paraId="05879FD8" w14:textId="37866513" w:rsidR="00DE7613" w:rsidRDefault="00DE7613" w:rsidP="00D44267">
            <w:pPr>
              <w:jc w:val="center"/>
              <w:rPr>
                <w:rFonts w:asciiTheme="minorHAnsi" w:hAnsiTheme="minorHAnsi" w:cstheme="minorHAnsi"/>
              </w:rPr>
            </w:pPr>
            <w:r>
              <w:rPr>
                <w:rFonts w:asciiTheme="minorHAnsi" w:hAnsiTheme="minorHAnsi" w:cstheme="minorHAnsi"/>
              </w:rPr>
              <w:t>RCL</w:t>
            </w:r>
          </w:p>
        </w:tc>
        <w:tc>
          <w:tcPr>
            <w:tcW w:w="4746" w:type="dxa"/>
            <w:vAlign w:val="center"/>
          </w:tcPr>
          <w:p w14:paraId="4A63C5EC" w14:textId="7EEA1C41" w:rsidR="00DE7613" w:rsidRPr="00DE7613" w:rsidRDefault="00DE7613" w:rsidP="00DE7613">
            <w:pPr>
              <w:jc w:val="both"/>
              <w:rPr>
                <w:rFonts w:asciiTheme="minorHAnsi" w:hAnsiTheme="minorHAnsi" w:cstheme="minorHAnsi"/>
              </w:rPr>
            </w:pPr>
            <w:r w:rsidRPr="00DE7613">
              <w:rPr>
                <w:rFonts w:asciiTheme="minorHAnsi" w:hAnsiTheme="minorHAnsi" w:cstheme="minorHAnsi"/>
              </w:rPr>
              <w:t>Wyjaśnienia (bardziej szczegółowego opisania) wymagają – ze względu na ich</w:t>
            </w:r>
            <w:r>
              <w:rPr>
                <w:rFonts w:asciiTheme="minorHAnsi" w:hAnsiTheme="minorHAnsi" w:cstheme="minorHAnsi"/>
              </w:rPr>
              <w:t xml:space="preserve"> </w:t>
            </w:r>
            <w:r w:rsidRPr="00DE7613">
              <w:rPr>
                <w:rFonts w:asciiTheme="minorHAnsi" w:hAnsiTheme="minorHAnsi" w:cstheme="minorHAnsi"/>
              </w:rPr>
              <w:t>niedookreśloność – zamieszczone w pkt 7 załącznika do projektu rozporządzenia regulacje</w:t>
            </w:r>
            <w:r>
              <w:rPr>
                <w:rFonts w:asciiTheme="minorHAnsi" w:hAnsiTheme="minorHAnsi" w:cstheme="minorHAnsi"/>
              </w:rPr>
              <w:t xml:space="preserve"> </w:t>
            </w:r>
            <w:r w:rsidRPr="00DE7613">
              <w:rPr>
                <w:rFonts w:asciiTheme="minorHAnsi" w:hAnsiTheme="minorHAnsi" w:cstheme="minorHAnsi"/>
              </w:rPr>
              <w:t>stanowiące o „prawidłowej strukturze bloku DAB+” czy o „odpowiednim bloku częstotliwości</w:t>
            </w:r>
            <w:r>
              <w:rPr>
                <w:rFonts w:asciiTheme="minorHAnsi" w:hAnsiTheme="minorHAnsi" w:cstheme="minorHAnsi"/>
              </w:rPr>
              <w:t xml:space="preserve"> </w:t>
            </w:r>
            <w:r w:rsidRPr="00DE7613">
              <w:rPr>
                <w:rFonts w:asciiTheme="minorHAnsi" w:hAnsiTheme="minorHAnsi" w:cstheme="minorHAnsi"/>
              </w:rPr>
              <w:t>DAB+”.</w:t>
            </w:r>
          </w:p>
          <w:p w14:paraId="4E41BDF2" w14:textId="17698BFC" w:rsidR="00DE7613" w:rsidRPr="00DE7613" w:rsidRDefault="00DE7613" w:rsidP="00DE7613">
            <w:pPr>
              <w:jc w:val="both"/>
              <w:rPr>
                <w:rFonts w:asciiTheme="minorHAnsi" w:hAnsiTheme="minorHAnsi" w:cstheme="minorHAnsi"/>
              </w:rPr>
            </w:pPr>
            <w:r w:rsidRPr="00DE7613">
              <w:rPr>
                <w:rFonts w:asciiTheme="minorHAnsi" w:hAnsiTheme="minorHAnsi" w:cstheme="minorHAnsi"/>
              </w:rPr>
              <w:t>Jeżeli natomiast mowa w ww. pkt o „obszarze rezerwacji”, to należy mieć na uwadze,</w:t>
            </w:r>
            <w:r>
              <w:rPr>
                <w:rFonts w:asciiTheme="minorHAnsi" w:hAnsiTheme="minorHAnsi" w:cstheme="minorHAnsi"/>
              </w:rPr>
              <w:t xml:space="preserve"> </w:t>
            </w:r>
            <w:r w:rsidRPr="00DE7613">
              <w:rPr>
                <w:rFonts w:asciiTheme="minorHAnsi" w:hAnsiTheme="minorHAnsi" w:cstheme="minorHAnsi"/>
              </w:rPr>
              <w:t>iż według art. 115 ustawy, jest to „obszar, na którym mogą być wykorzystywane</w:t>
            </w:r>
            <w:r>
              <w:rPr>
                <w:rFonts w:asciiTheme="minorHAnsi" w:hAnsiTheme="minorHAnsi" w:cstheme="minorHAnsi"/>
              </w:rPr>
              <w:t xml:space="preserve"> </w:t>
            </w:r>
            <w:r w:rsidRPr="00DE7613">
              <w:rPr>
                <w:rFonts w:asciiTheme="minorHAnsi" w:hAnsiTheme="minorHAnsi" w:cstheme="minorHAnsi"/>
              </w:rPr>
              <w:t>częstotliwości” – zgodnie z rezerwacją częstotliwości; siatka pojęciowa tym samym wymaga</w:t>
            </w:r>
          </w:p>
          <w:p w14:paraId="3F0BDFA9" w14:textId="4B20DEA8" w:rsidR="00DE7613" w:rsidRPr="00DE7613" w:rsidRDefault="00DE7613" w:rsidP="00DE7613">
            <w:pPr>
              <w:jc w:val="both"/>
              <w:rPr>
                <w:rFonts w:asciiTheme="minorHAnsi" w:hAnsiTheme="minorHAnsi" w:cstheme="minorHAnsi"/>
              </w:rPr>
            </w:pPr>
            <w:r w:rsidRPr="00DE7613">
              <w:rPr>
                <w:rFonts w:asciiTheme="minorHAnsi" w:hAnsiTheme="minorHAnsi" w:cstheme="minorHAnsi"/>
              </w:rPr>
              <w:t>odpowiedniego dostosowania do terminologii, którą posługuje się ustawa.</w:t>
            </w:r>
          </w:p>
        </w:tc>
        <w:tc>
          <w:tcPr>
            <w:tcW w:w="4521" w:type="dxa"/>
            <w:vAlign w:val="center"/>
          </w:tcPr>
          <w:p w14:paraId="791BF556" w14:textId="77777777" w:rsidR="00BF0D97" w:rsidRDefault="00BF0D97" w:rsidP="005555B6">
            <w:pPr>
              <w:jc w:val="both"/>
              <w:rPr>
                <w:rFonts w:asciiTheme="minorHAnsi" w:hAnsiTheme="minorHAnsi" w:cstheme="minorHAnsi"/>
              </w:rPr>
            </w:pPr>
            <w:r>
              <w:rPr>
                <w:rFonts w:asciiTheme="minorHAnsi" w:hAnsiTheme="minorHAnsi" w:cstheme="minorHAnsi"/>
              </w:rPr>
              <w:t>Uwaga uwzględniona.</w:t>
            </w:r>
          </w:p>
          <w:p w14:paraId="45902718" w14:textId="50E93CB6" w:rsidR="00DE7613" w:rsidRPr="00A15A71" w:rsidRDefault="00DD4D4C" w:rsidP="005555B6">
            <w:pPr>
              <w:jc w:val="both"/>
              <w:rPr>
                <w:rFonts w:asciiTheme="minorHAnsi" w:hAnsiTheme="minorHAnsi" w:cstheme="minorHAnsi"/>
              </w:rPr>
            </w:pPr>
            <w:r>
              <w:rPr>
                <w:rFonts w:asciiTheme="minorHAnsi" w:hAnsiTheme="minorHAnsi" w:cstheme="minorHAnsi"/>
              </w:rPr>
              <w:t>Zmodyfikowano i ujednolicono zapisy</w:t>
            </w:r>
            <w:r w:rsidR="00BF0D97">
              <w:rPr>
                <w:rFonts w:asciiTheme="minorHAnsi" w:hAnsiTheme="minorHAnsi" w:cstheme="minorHAnsi"/>
              </w:rPr>
              <w:t>.</w:t>
            </w:r>
          </w:p>
        </w:tc>
      </w:tr>
      <w:tr w:rsidR="00DE7613" w:rsidRPr="00192EA5" w14:paraId="221C87DE" w14:textId="77777777" w:rsidTr="00671CD8">
        <w:trPr>
          <w:trHeight w:val="3503"/>
          <w:jc w:val="center"/>
        </w:trPr>
        <w:tc>
          <w:tcPr>
            <w:tcW w:w="675" w:type="dxa"/>
            <w:vAlign w:val="center"/>
          </w:tcPr>
          <w:p w14:paraId="6AE70C07" w14:textId="409FE38C" w:rsidR="00DE7613" w:rsidRDefault="00671CD8" w:rsidP="00370DA3">
            <w:pPr>
              <w:widowControl w:val="0"/>
              <w:autoSpaceDE w:val="0"/>
              <w:autoSpaceDN w:val="0"/>
              <w:adjustRightInd w:val="0"/>
              <w:spacing w:before="120" w:after="120"/>
              <w:jc w:val="center"/>
              <w:rPr>
                <w:rFonts w:ascii="Calibri" w:hAnsi="Calibri" w:cs="Calibri"/>
                <w:color w:val="000000"/>
                <w:sz w:val="22"/>
                <w:szCs w:val="22"/>
              </w:rPr>
            </w:pPr>
            <w:r>
              <w:rPr>
                <w:rFonts w:ascii="Calibri" w:hAnsi="Calibri" w:cs="Calibri"/>
                <w:color w:val="000000"/>
                <w:sz w:val="22"/>
                <w:szCs w:val="22"/>
              </w:rPr>
              <w:lastRenderedPageBreak/>
              <w:t>13</w:t>
            </w:r>
          </w:p>
        </w:tc>
        <w:tc>
          <w:tcPr>
            <w:tcW w:w="1560" w:type="dxa"/>
            <w:vAlign w:val="center"/>
          </w:tcPr>
          <w:p w14:paraId="3CC5606E" w14:textId="63124157" w:rsidR="00DE7613" w:rsidRDefault="00DE7613" w:rsidP="007269D4">
            <w:pPr>
              <w:pStyle w:val="Bezodstpw"/>
              <w:jc w:val="center"/>
              <w:rPr>
                <w:rFonts w:asciiTheme="minorHAnsi" w:hAnsiTheme="minorHAnsi" w:cstheme="minorHAnsi"/>
              </w:rPr>
            </w:pPr>
            <w:r>
              <w:rPr>
                <w:rFonts w:asciiTheme="minorHAnsi" w:hAnsiTheme="minorHAnsi" w:cstheme="minorHAnsi"/>
              </w:rPr>
              <w:t>Pkt 7 i 11</w:t>
            </w:r>
          </w:p>
        </w:tc>
        <w:tc>
          <w:tcPr>
            <w:tcW w:w="1917" w:type="dxa"/>
            <w:vAlign w:val="center"/>
          </w:tcPr>
          <w:p w14:paraId="7B113E7D" w14:textId="4E6199EB" w:rsidR="00DE7613" w:rsidRDefault="00DE7613" w:rsidP="00D44267">
            <w:pPr>
              <w:jc w:val="center"/>
              <w:rPr>
                <w:rFonts w:asciiTheme="minorHAnsi" w:hAnsiTheme="minorHAnsi" w:cstheme="minorHAnsi"/>
              </w:rPr>
            </w:pPr>
            <w:r>
              <w:rPr>
                <w:rFonts w:asciiTheme="minorHAnsi" w:hAnsiTheme="minorHAnsi" w:cstheme="minorHAnsi"/>
              </w:rPr>
              <w:t>RCL</w:t>
            </w:r>
          </w:p>
        </w:tc>
        <w:tc>
          <w:tcPr>
            <w:tcW w:w="4746" w:type="dxa"/>
          </w:tcPr>
          <w:p w14:paraId="0CB9069F" w14:textId="60FCD2C7" w:rsidR="00DE7613" w:rsidRPr="00DE7613" w:rsidRDefault="00DE7613" w:rsidP="00DE7613">
            <w:pPr>
              <w:jc w:val="both"/>
              <w:rPr>
                <w:rFonts w:asciiTheme="minorHAnsi" w:hAnsiTheme="minorHAnsi" w:cstheme="minorHAnsi"/>
              </w:rPr>
            </w:pPr>
            <w:r w:rsidRPr="00DE7613">
              <w:rPr>
                <w:rFonts w:asciiTheme="minorHAnsi" w:hAnsiTheme="minorHAnsi" w:cstheme="minorHAnsi"/>
              </w:rPr>
              <w:t xml:space="preserve">Podobna uwaga dotyczy </w:t>
            </w:r>
            <w:r>
              <w:rPr>
                <w:rFonts w:asciiTheme="minorHAnsi" w:hAnsiTheme="minorHAnsi" w:cstheme="minorHAnsi"/>
              </w:rPr>
              <w:t xml:space="preserve">(jak do pkt 1) </w:t>
            </w:r>
            <w:r w:rsidRPr="00DE7613">
              <w:rPr>
                <w:rFonts w:asciiTheme="minorHAnsi" w:hAnsiTheme="minorHAnsi" w:cstheme="minorHAnsi"/>
              </w:rPr>
              <w:t>określenia w załączniku do rozporządzenia:</w:t>
            </w:r>
          </w:p>
          <w:p w14:paraId="595947FA" w14:textId="60AA4A31" w:rsidR="00DE7613" w:rsidRPr="00DE7613" w:rsidRDefault="00DE7613" w:rsidP="00DE7613">
            <w:pPr>
              <w:jc w:val="both"/>
              <w:rPr>
                <w:rFonts w:asciiTheme="minorHAnsi" w:hAnsiTheme="minorHAnsi" w:cstheme="minorHAnsi"/>
              </w:rPr>
            </w:pPr>
            <w:r w:rsidRPr="00DE7613">
              <w:rPr>
                <w:rFonts w:asciiTheme="minorHAnsi" w:hAnsiTheme="minorHAnsi" w:cstheme="minorHAnsi"/>
              </w:rPr>
              <w:t>a) w pkt 11, iż „parametry toru radiowego, takie jak: selektywność odbiornika (…),</w:t>
            </w:r>
            <w:r>
              <w:rPr>
                <w:rFonts w:asciiTheme="minorHAnsi" w:hAnsiTheme="minorHAnsi" w:cstheme="minorHAnsi"/>
              </w:rPr>
              <w:t xml:space="preserve"> </w:t>
            </w:r>
            <w:r w:rsidRPr="00DE7613">
              <w:rPr>
                <w:rFonts w:asciiTheme="minorHAnsi" w:hAnsiTheme="minorHAnsi" w:cstheme="minorHAnsi"/>
              </w:rPr>
              <w:t>zostały zdefiniowane w ETSI TS…” czy</w:t>
            </w:r>
          </w:p>
          <w:p w14:paraId="7CEAFE69" w14:textId="472B1453" w:rsidR="00DE7613" w:rsidRPr="00DE7613" w:rsidRDefault="00DE7613" w:rsidP="00DE7613">
            <w:pPr>
              <w:jc w:val="both"/>
              <w:rPr>
                <w:rFonts w:asciiTheme="minorHAnsi" w:hAnsiTheme="minorHAnsi" w:cstheme="minorHAnsi"/>
              </w:rPr>
            </w:pPr>
            <w:r w:rsidRPr="00DE7613">
              <w:rPr>
                <w:rFonts w:asciiTheme="minorHAnsi" w:hAnsiTheme="minorHAnsi" w:cstheme="minorHAnsi"/>
              </w:rPr>
              <w:t>b) w pkt 7, iż „częstotliwości środkowe zakresu 174–240 MHz dla poszczególnych</w:t>
            </w:r>
            <w:r>
              <w:rPr>
                <w:rFonts w:asciiTheme="minorHAnsi" w:hAnsiTheme="minorHAnsi" w:cstheme="minorHAnsi"/>
              </w:rPr>
              <w:t xml:space="preserve"> </w:t>
            </w:r>
            <w:r w:rsidRPr="00DE7613">
              <w:rPr>
                <w:rFonts w:asciiTheme="minorHAnsi" w:hAnsiTheme="minorHAnsi" w:cstheme="minorHAnsi"/>
              </w:rPr>
              <w:t>bloków częstotliwości DAB podane są w załączniku A normy IEC 62104:2015”.</w:t>
            </w:r>
          </w:p>
          <w:p w14:paraId="5F973C24" w14:textId="1E2C9F8B" w:rsidR="00DE7613" w:rsidRPr="001A36A1" w:rsidRDefault="00DE7613" w:rsidP="00DE7613">
            <w:pPr>
              <w:jc w:val="both"/>
              <w:rPr>
                <w:rFonts w:asciiTheme="minorHAnsi" w:hAnsiTheme="minorHAnsi" w:cstheme="minorHAnsi"/>
              </w:rPr>
            </w:pPr>
            <w:r w:rsidRPr="00DE7613">
              <w:rPr>
                <w:rFonts w:asciiTheme="minorHAnsi" w:hAnsiTheme="minorHAnsi" w:cstheme="minorHAnsi"/>
              </w:rPr>
              <w:t>Wobec powyższego nie jest zasadne zamieszczanie ww. twierdzeń w projektowanym</w:t>
            </w:r>
            <w:r>
              <w:rPr>
                <w:rFonts w:asciiTheme="minorHAnsi" w:hAnsiTheme="minorHAnsi" w:cstheme="minorHAnsi"/>
              </w:rPr>
              <w:t xml:space="preserve"> </w:t>
            </w:r>
            <w:r w:rsidRPr="00DE7613">
              <w:rPr>
                <w:rFonts w:asciiTheme="minorHAnsi" w:hAnsiTheme="minorHAnsi" w:cstheme="minorHAnsi"/>
              </w:rPr>
              <w:t>akcie w obecnym kształcie (należy rozważyć ich odpowiednie przeformułowanie, tak by</w:t>
            </w:r>
            <w:r>
              <w:rPr>
                <w:rFonts w:asciiTheme="minorHAnsi" w:hAnsiTheme="minorHAnsi" w:cstheme="minorHAnsi"/>
              </w:rPr>
              <w:t xml:space="preserve"> </w:t>
            </w:r>
            <w:r w:rsidRPr="00DE7613">
              <w:rPr>
                <w:rFonts w:asciiTheme="minorHAnsi" w:hAnsiTheme="minorHAnsi" w:cstheme="minorHAnsi"/>
              </w:rPr>
              <w:t>załącznik regulował kwestie odpowiednich wymagań a nie odsyłał w tym zakresie do</w:t>
            </w:r>
            <w:r>
              <w:rPr>
                <w:rFonts w:asciiTheme="minorHAnsi" w:hAnsiTheme="minorHAnsi" w:cstheme="minorHAnsi"/>
              </w:rPr>
              <w:t xml:space="preserve"> </w:t>
            </w:r>
            <w:r w:rsidRPr="00DE7613">
              <w:rPr>
                <w:rFonts w:asciiTheme="minorHAnsi" w:hAnsiTheme="minorHAnsi" w:cstheme="minorHAnsi"/>
              </w:rPr>
              <w:t>zawartych w Wykazie norm).</w:t>
            </w:r>
          </w:p>
        </w:tc>
        <w:tc>
          <w:tcPr>
            <w:tcW w:w="4521" w:type="dxa"/>
            <w:vAlign w:val="center"/>
          </w:tcPr>
          <w:p w14:paraId="1AA0B58A" w14:textId="22613797" w:rsidR="007D002C" w:rsidRDefault="007D002C" w:rsidP="00DD4D4C">
            <w:pPr>
              <w:jc w:val="both"/>
              <w:rPr>
                <w:rFonts w:asciiTheme="minorHAnsi" w:hAnsiTheme="minorHAnsi" w:cstheme="minorHAnsi"/>
              </w:rPr>
            </w:pPr>
            <w:r>
              <w:rPr>
                <w:rFonts w:asciiTheme="minorHAnsi" w:hAnsiTheme="minorHAnsi" w:cstheme="minorHAnsi"/>
              </w:rPr>
              <w:t>Uwaga częściowo uwzględniona.</w:t>
            </w:r>
          </w:p>
          <w:p w14:paraId="47EB1F4C" w14:textId="51F651B8" w:rsidR="00DE7613" w:rsidRPr="00A15A71" w:rsidRDefault="00DD4D4C" w:rsidP="00DD4D4C">
            <w:pPr>
              <w:jc w:val="both"/>
              <w:rPr>
                <w:rFonts w:asciiTheme="minorHAnsi" w:hAnsiTheme="minorHAnsi" w:cstheme="minorHAnsi"/>
              </w:rPr>
            </w:pPr>
            <w:r>
              <w:rPr>
                <w:rFonts w:asciiTheme="minorHAnsi" w:hAnsiTheme="minorHAnsi" w:cstheme="minorHAnsi"/>
              </w:rPr>
              <w:t xml:space="preserve">Parametry takie jak częstotliwości środkowe czy selektywność odbiornika są kluczowymi wymaganiami technicznymi dla odbiorników DAB+. Nie jest zasadne przy tym kopiowanie do rozporządzenia odpowiednich fragmentów norm. Wprowadzono natomiast odwołania do konkretnych punktów norm. </w:t>
            </w:r>
          </w:p>
        </w:tc>
      </w:tr>
      <w:tr w:rsidR="00212416" w:rsidRPr="00192EA5" w14:paraId="66B06F07" w14:textId="77777777" w:rsidTr="00671CD8">
        <w:trPr>
          <w:jc w:val="center"/>
        </w:trPr>
        <w:tc>
          <w:tcPr>
            <w:tcW w:w="675" w:type="dxa"/>
            <w:vAlign w:val="center"/>
          </w:tcPr>
          <w:p w14:paraId="0EE005C6" w14:textId="18DCD087" w:rsidR="00212416" w:rsidRPr="008B0B7C" w:rsidRDefault="00671CD8" w:rsidP="00370DA3">
            <w:pPr>
              <w:widowControl w:val="0"/>
              <w:autoSpaceDE w:val="0"/>
              <w:autoSpaceDN w:val="0"/>
              <w:adjustRightInd w:val="0"/>
              <w:spacing w:before="120" w:after="120"/>
              <w:jc w:val="center"/>
              <w:rPr>
                <w:rFonts w:asciiTheme="minorHAnsi" w:hAnsiTheme="minorHAnsi" w:cstheme="minorHAnsi"/>
                <w:b/>
              </w:rPr>
            </w:pPr>
            <w:r>
              <w:rPr>
                <w:rFonts w:ascii="Calibri" w:hAnsi="Calibri" w:cs="Calibri"/>
                <w:color w:val="000000"/>
                <w:sz w:val="22"/>
                <w:szCs w:val="22"/>
              </w:rPr>
              <w:t>14</w:t>
            </w:r>
          </w:p>
        </w:tc>
        <w:tc>
          <w:tcPr>
            <w:tcW w:w="1560" w:type="dxa"/>
            <w:vAlign w:val="center"/>
          </w:tcPr>
          <w:p w14:paraId="434A3799" w14:textId="74D24A33" w:rsidR="00212416" w:rsidRPr="008B0B7C" w:rsidRDefault="00616679" w:rsidP="007269D4">
            <w:pPr>
              <w:pStyle w:val="Bezodstpw"/>
              <w:jc w:val="center"/>
              <w:rPr>
                <w:rFonts w:asciiTheme="minorHAnsi" w:hAnsiTheme="minorHAnsi" w:cstheme="minorHAnsi"/>
              </w:rPr>
            </w:pPr>
            <w:r w:rsidRPr="00616679">
              <w:rPr>
                <w:rFonts w:asciiTheme="minorHAnsi" w:hAnsiTheme="minorHAnsi" w:cstheme="minorHAnsi"/>
              </w:rPr>
              <w:t>Punkt 4 OSR</w:t>
            </w:r>
          </w:p>
        </w:tc>
        <w:tc>
          <w:tcPr>
            <w:tcW w:w="1917" w:type="dxa"/>
            <w:vAlign w:val="center"/>
          </w:tcPr>
          <w:p w14:paraId="1143CB0A" w14:textId="32AD1B06" w:rsidR="00212416" w:rsidRPr="008B0B7C" w:rsidRDefault="00616679" w:rsidP="00D44267">
            <w:pPr>
              <w:jc w:val="center"/>
              <w:rPr>
                <w:rFonts w:asciiTheme="minorHAnsi" w:hAnsiTheme="minorHAnsi" w:cstheme="minorHAnsi"/>
              </w:rPr>
            </w:pPr>
            <w:r>
              <w:rPr>
                <w:rFonts w:asciiTheme="minorHAnsi" w:hAnsiTheme="minorHAnsi" w:cstheme="minorHAnsi"/>
              </w:rPr>
              <w:t>MF</w:t>
            </w:r>
          </w:p>
        </w:tc>
        <w:tc>
          <w:tcPr>
            <w:tcW w:w="4746" w:type="dxa"/>
          </w:tcPr>
          <w:p w14:paraId="307EFF42" w14:textId="77777777" w:rsidR="00616679" w:rsidRPr="00616679" w:rsidRDefault="00616679" w:rsidP="00616679">
            <w:pPr>
              <w:autoSpaceDE w:val="0"/>
              <w:autoSpaceDN w:val="0"/>
              <w:adjustRightInd w:val="0"/>
              <w:jc w:val="both"/>
              <w:rPr>
                <w:rFonts w:asciiTheme="minorHAnsi" w:hAnsiTheme="minorHAnsi" w:cstheme="minorHAnsi"/>
              </w:rPr>
            </w:pPr>
            <w:r w:rsidRPr="00616679">
              <w:rPr>
                <w:rFonts w:asciiTheme="minorHAnsi" w:hAnsiTheme="minorHAnsi" w:cstheme="minorHAnsi"/>
              </w:rPr>
              <w:t>Punkt 4 OSR do projektu przedmiotowego rozporządzenia należy uzupełnić o podmioty, na</w:t>
            </w:r>
          </w:p>
          <w:p w14:paraId="131354C2" w14:textId="77777777" w:rsidR="00616679" w:rsidRPr="00616679" w:rsidRDefault="00616679" w:rsidP="00616679">
            <w:pPr>
              <w:autoSpaceDE w:val="0"/>
              <w:autoSpaceDN w:val="0"/>
              <w:adjustRightInd w:val="0"/>
              <w:jc w:val="both"/>
              <w:rPr>
                <w:rFonts w:asciiTheme="minorHAnsi" w:hAnsiTheme="minorHAnsi" w:cstheme="minorHAnsi"/>
              </w:rPr>
            </w:pPr>
            <w:r w:rsidRPr="00616679">
              <w:rPr>
                <w:rFonts w:asciiTheme="minorHAnsi" w:hAnsiTheme="minorHAnsi" w:cstheme="minorHAnsi"/>
              </w:rPr>
              <w:t>które oddziałuje projektowana regulacja. W obecnym brzmieniu wskazane są tylko podmioty,</w:t>
            </w:r>
          </w:p>
          <w:p w14:paraId="70D10C08" w14:textId="67A7460E" w:rsidR="00212416" w:rsidRPr="008B0B7C" w:rsidRDefault="00616679" w:rsidP="00616679">
            <w:pPr>
              <w:autoSpaceDE w:val="0"/>
              <w:autoSpaceDN w:val="0"/>
              <w:adjustRightInd w:val="0"/>
              <w:jc w:val="both"/>
              <w:rPr>
                <w:rFonts w:asciiTheme="minorHAnsi" w:hAnsiTheme="minorHAnsi" w:cstheme="minorHAnsi"/>
              </w:rPr>
            </w:pPr>
            <w:r w:rsidRPr="00616679">
              <w:rPr>
                <w:rFonts w:asciiTheme="minorHAnsi" w:hAnsiTheme="minorHAnsi" w:cstheme="minorHAnsi"/>
              </w:rPr>
              <w:t>w odniesieniu do których stwierdzono brak wpływu</w:t>
            </w:r>
          </w:p>
        </w:tc>
        <w:tc>
          <w:tcPr>
            <w:tcW w:w="4521" w:type="dxa"/>
            <w:vAlign w:val="center"/>
          </w:tcPr>
          <w:p w14:paraId="18B05A44" w14:textId="215967E5" w:rsidR="00570810" w:rsidRDefault="00570810" w:rsidP="006A381A">
            <w:pPr>
              <w:widowControl w:val="0"/>
              <w:autoSpaceDE w:val="0"/>
              <w:autoSpaceDN w:val="0"/>
              <w:adjustRightInd w:val="0"/>
              <w:spacing w:before="120" w:after="120"/>
              <w:jc w:val="both"/>
              <w:rPr>
                <w:rFonts w:asciiTheme="minorHAnsi" w:hAnsiTheme="minorHAnsi" w:cstheme="minorHAnsi"/>
              </w:rPr>
            </w:pPr>
            <w:r>
              <w:rPr>
                <w:rFonts w:asciiTheme="minorHAnsi" w:hAnsiTheme="minorHAnsi" w:cstheme="minorHAnsi"/>
              </w:rPr>
              <w:t>Uwaga uwzględniona.</w:t>
            </w:r>
          </w:p>
          <w:p w14:paraId="1EC78119" w14:textId="242C81B4" w:rsidR="00D4328B" w:rsidRPr="008B0B7C" w:rsidRDefault="00E91C3D" w:rsidP="00570810">
            <w:pPr>
              <w:widowControl w:val="0"/>
              <w:autoSpaceDE w:val="0"/>
              <w:autoSpaceDN w:val="0"/>
              <w:adjustRightInd w:val="0"/>
              <w:spacing w:before="120" w:after="120"/>
              <w:jc w:val="both"/>
              <w:rPr>
                <w:rFonts w:asciiTheme="minorHAnsi" w:hAnsiTheme="minorHAnsi" w:cstheme="minorHAnsi"/>
              </w:rPr>
            </w:pPr>
            <w:r>
              <w:rPr>
                <w:rFonts w:asciiTheme="minorHAnsi" w:hAnsiTheme="minorHAnsi" w:cstheme="minorHAnsi"/>
              </w:rPr>
              <w:t>W</w:t>
            </w:r>
            <w:r w:rsidR="00570810">
              <w:rPr>
                <w:rFonts w:asciiTheme="minorHAnsi" w:hAnsiTheme="minorHAnsi" w:cstheme="minorHAnsi"/>
              </w:rPr>
              <w:t xml:space="preserve">prowadzono zmiany w OSR. </w:t>
            </w:r>
          </w:p>
        </w:tc>
      </w:tr>
    </w:tbl>
    <w:p w14:paraId="371BD4A7" w14:textId="77777777" w:rsidR="00B4004A" w:rsidRDefault="00B4004A" w:rsidP="00617546">
      <w:pPr>
        <w:rPr>
          <w:rFonts w:asciiTheme="minorHAnsi" w:hAnsiTheme="minorHAnsi" w:cstheme="minorHAnsi"/>
        </w:rPr>
      </w:pPr>
    </w:p>
    <w:p w14:paraId="254E2230" w14:textId="68DB10AE" w:rsidR="00CD0622" w:rsidRPr="007269D4" w:rsidRDefault="00CD0622" w:rsidP="00617546">
      <w:pPr>
        <w:rPr>
          <w:rFonts w:asciiTheme="minorHAnsi" w:hAnsiTheme="minorHAnsi" w:cstheme="minorHAnsi"/>
        </w:rPr>
      </w:pPr>
    </w:p>
    <w:sectPr w:rsidR="00CD0622" w:rsidRPr="007269D4" w:rsidSect="00BE46B4">
      <w:headerReference w:type="default" r:id="rId8"/>
      <w:footerReference w:type="default" r:id="rId9"/>
      <w:pgSz w:w="16838" w:h="11906" w:orient="landscape"/>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0B601D" w14:textId="77777777" w:rsidR="00903D84" w:rsidRDefault="00903D84" w:rsidP="002B23A1">
      <w:r>
        <w:separator/>
      </w:r>
    </w:p>
  </w:endnote>
  <w:endnote w:type="continuationSeparator" w:id="0">
    <w:p w14:paraId="5EB3F198" w14:textId="77777777" w:rsidR="00903D84" w:rsidRDefault="00903D84" w:rsidP="002B2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4177071"/>
      <w:docPartObj>
        <w:docPartGallery w:val="Page Numbers (Bottom of Page)"/>
        <w:docPartUnique/>
      </w:docPartObj>
    </w:sdtPr>
    <w:sdtEndPr/>
    <w:sdtContent>
      <w:sdt>
        <w:sdtPr>
          <w:id w:val="-1769616900"/>
          <w:docPartObj>
            <w:docPartGallery w:val="Page Numbers (Top of Page)"/>
            <w:docPartUnique/>
          </w:docPartObj>
        </w:sdtPr>
        <w:sdtEndPr/>
        <w:sdtContent>
          <w:p w14:paraId="1A826F9E" w14:textId="4EB03FA1" w:rsidR="004F65F7" w:rsidRDefault="004F65F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05727">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05727">
              <w:rPr>
                <w:b/>
                <w:bCs/>
                <w:noProof/>
              </w:rPr>
              <w:t>13</w:t>
            </w:r>
            <w:r>
              <w:rPr>
                <w:b/>
                <w:bCs/>
                <w:sz w:val="24"/>
                <w:szCs w:val="24"/>
              </w:rPr>
              <w:fldChar w:fldCharType="end"/>
            </w:r>
          </w:p>
        </w:sdtContent>
      </w:sdt>
    </w:sdtContent>
  </w:sdt>
  <w:p w14:paraId="078286F5" w14:textId="77777777" w:rsidR="004F65F7" w:rsidRDefault="004F65F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355F36" w14:textId="77777777" w:rsidR="00903D84" w:rsidRDefault="00903D84" w:rsidP="002B23A1">
      <w:r>
        <w:separator/>
      </w:r>
    </w:p>
  </w:footnote>
  <w:footnote w:type="continuationSeparator" w:id="0">
    <w:p w14:paraId="3D3A58D1" w14:textId="77777777" w:rsidR="00903D84" w:rsidRDefault="00903D84" w:rsidP="002B2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64302" w14:textId="418F29E4" w:rsidR="004F65F7" w:rsidRPr="005E654A" w:rsidRDefault="004F65F7" w:rsidP="00616679">
    <w:pPr>
      <w:spacing w:line="360" w:lineRule="auto"/>
      <w:jc w:val="center"/>
      <w:rPr>
        <w:rFonts w:ascii="Calibri" w:hAnsi="Calibri"/>
        <w:b/>
        <w:sz w:val="24"/>
        <w:szCs w:val="24"/>
      </w:rPr>
    </w:pPr>
    <w:r w:rsidRPr="00BF33AA">
      <w:rPr>
        <w:rFonts w:ascii="Calibri" w:hAnsi="Calibri"/>
        <w:b/>
        <w:sz w:val="24"/>
        <w:szCs w:val="24"/>
      </w:rPr>
      <w:t xml:space="preserve">Zestawienie uwag </w:t>
    </w:r>
    <w:r>
      <w:rPr>
        <w:rFonts w:ascii="Calibri" w:hAnsi="Calibri"/>
        <w:b/>
        <w:sz w:val="24"/>
        <w:szCs w:val="24"/>
      </w:rPr>
      <w:t xml:space="preserve">międzyresortowych </w:t>
    </w:r>
    <w:r w:rsidRPr="00BF33AA">
      <w:rPr>
        <w:rFonts w:ascii="Calibri" w:hAnsi="Calibri"/>
        <w:b/>
        <w:sz w:val="24"/>
        <w:szCs w:val="24"/>
      </w:rPr>
      <w:t xml:space="preserve">do projektu rozporządzenia Ministra Cyfryzacji w sprawie warunków </w:t>
    </w:r>
    <w:r>
      <w:rPr>
        <w:rFonts w:ascii="Calibri" w:hAnsi="Calibri"/>
        <w:b/>
        <w:sz w:val="24"/>
        <w:szCs w:val="24"/>
      </w:rPr>
      <w:t xml:space="preserve">technicznych i eksploatacyjnych dla </w:t>
    </w:r>
    <w:r w:rsidR="00616679" w:rsidRPr="00616679">
      <w:rPr>
        <w:rFonts w:ascii="Calibri" w:hAnsi="Calibri"/>
        <w:b/>
        <w:sz w:val="24"/>
        <w:szCs w:val="24"/>
      </w:rPr>
      <w:t>urządzeń</w:t>
    </w:r>
    <w:r w:rsidR="00616679">
      <w:rPr>
        <w:rFonts w:ascii="Calibri" w:hAnsi="Calibri"/>
        <w:b/>
        <w:sz w:val="24"/>
        <w:szCs w:val="24"/>
      </w:rPr>
      <w:t xml:space="preserve"> </w:t>
    </w:r>
    <w:r w:rsidR="00616679" w:rsidRPr="00616679">
      <w:rPr>
        <w:rFonts w:ascii="Calibri" w:hAnsi="Calibri"/>
        <w:b/>
        <w:sz w:val="24"/>
        <w:szCs w:val="24"/>
      </w:rPr>
      <w:t>konsumenckich służących do odbioru cyfrowych transmisji radiofonicznych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81E9F"/>
    <w:multiLevelType w:val="hybridMultilevel"/>
    <w:tmpl w:val="008C74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8E65F6"/>
    <w:multiLevelType w:val="hybridMultilevel"/>
    <w:tmpl w:val="B566BF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8628F3"/>
    <w:multiLevelType w:val="hybridMultilevel"/>
    <w:tmpl w:val="65B65D2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A822BF0"/>
    <w:multiLevelType w:val="hybridMultilevel"/>
    <w:tmpl w:val="FE4C2F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48133E"/>
    <w:multiLevelType w:val="hybridMultilevel"/>
    <w:tmpl w:val="46DA92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362D2B"/>
    <w:multiLevelType w:val="hybridMultilevel"/>
    <w:tmpl w:val="0BDC74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696671"/>
    <w:multiLevelType w:val="hybridMultilevel"/>
    <w:tmpl w:val="46DA92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7809BF"/>
    <w:multiLevelType w:val="hybridMultilevel"/>
    <w:tmpl w:val="7BE0A94A"/>
    <w:lvl w:ilvl="0" w:tplc="4600EA6C">
      <w:start w:val="1"/>
      <w:numFmt w:val="lowerLetter"/>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202552"/>
    <w:multiLevelType w:val="hybridMultilevel"/>
    <w:tmpl w:val="ECF652C2"/>
    <w:lvl w:ilvl="0" w:tplc="374E2F7C">
      <w:start w:val="1"/>
      <w:numFmt w:val="decimal"/>
      <w:lvlText w:val="%1)"/>
      <w:lvlJc w:val="left"/>
      <w:pPr>
        <w:ind w:left="1080" w:hanging="360"/>
      </w:pPr>
      <w:rPr>
        <w:rFonts w:hint="default"/>
        <w: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D3A2B59"/>
    <w:multiLevelType w:val="hybridMultilevel"/>
    <w:tmpl w:val="6C34A2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1A059C"/>
    <w:multiLevelType w:val="hybridMultilevel"/>
    <w:tmpl w:val="A8DEE4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477AF7"/>
    <w:multiLevelType w:val="hybridMultilevel"/>
    <w:tmpl w:val="9B00D570"/>
    <w:lvl w:ilvl="0" w:tplc="B6E4BC70">
      <w:start w:val="1"/>
      <w:numFmt w:val="decimal"/>
      <w:lvlText w:val="%1)"/>
      <w:lvlJc w:val="left"/>
      <w:pPr>
        <w:ind w:left="678" w:hanging="360"/>
      </w:pPr>
      <w:rPr>
        <w:rFonts w:hint="default"/>
      </w:r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12" w15:restartNumberingAfterBreak="0">
    <w:nsid w:val="515C70FA"/>
    <w:multiLevelType w:val="hybridMultilevel"/>
    <w:tmpl w:val="5D1C8B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005918"/>
    <w:multiLevelType w:val="hybridMultilevel"/>
    <w:tmpl w:val="6388AD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1206DD"/>
    <w:multiLevelType w:val="hybridMultilevel"/>
    <w:tmpl w:val="5F968958"/>
    <w:lvl w:ilvl="0" w:tplc="43D0D5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58A20FC4"/>
    <w:multiLevelType w:val="hybridMultilevel"/>
    <w:tmpl w:val="F5D0E8D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9BC4F8A"/>
    <w:multiLevelType w:val="hybridMultilevel"/>
    <w:tmpl w:val="6388AD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174CEA"/>
    <w:multiLevelType w:val="hybridMultilevel"/>
    <w:tmpl w:val="008C74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F05180"/>
    <w:multiLevelType w:val="hybridMultilevel"/>
    <w:tmpl w:val="C7DCF010"/>
    <w:lvl w:ilvl="0" w:tplc="04150001">
      <w:start w:val="1"/>
      <w:numFmt w:val="bullet"/>
      <w:lvlText w:val=""/>
      <w:lvlJc w:val="left"/>
      <w:pPr>
        <w:ind w:left="678" w:hanging="360"/>
      </w:pPr>
      <w:rPr>
        <w:rFonts w:ascii="Symbol" w:hAnsi="Symbol" w:hint="default"/>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9" w15:restartNumberingAfterBreak="0">
    <w:nsid w:val="707D3DC7"/>
    <w:multiLevelType w:val="hybridMultilevel"/>
    <w:tmpl w:val="9C0E4C5A"/>
    <w:lvl w:ilvl="0" w:tplc="A0A42E1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7142495A"/>
    <w:multiLevelType w:val="hybridMultilevel"/>
    <w:tmpl w:val="457035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B244D5"/>
    <w:multiLevelType w:val="hybridMultilevel"/>
    <w:tmpl w:val="6C34A2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885654A"/>
    <w:multiLevelType w:val="hybridMultilevel"/>
    <w:tmpl w:val="A0D455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A0319A0"/>
    <w:multiLevelType w:val="hybridMultilevel"/>
    <w:tmpl w:val="5D1C8B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551C98"/>
    <w:multiLevelType w:val="hybridMultilevel"/>
    <w:tmpl w:val="E18EAD42"/>
    <w:lvl w:ilvl="0" w:tplc="DA48BDB2">
      <w:start w:val="1"/>
      <w:numFmt w:val="decimal"/>
      <w:lvlText w:val="%1."/>
      <w:lvlJc w:val="left"/>
      <w:pPr>
        <w:ind w:left="720" w:hanging="360"/>
      </w:pPr>
      <w:rPr>
        <w:rFonts w:ascii="Century Gothic" w:hAnsi="Century Gothic"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5"/>
  </w:num>
  <w:num w:numId="2">
    <w:abstractNumId w:val="22"/>
  </w:num>
  <w:num w:numId="3">
    <w:abstractNumId w:val="6"/>
  </w:num>
  <w:num w:numId="4">
    <w:abstractNumId w:val="4"/>
  </w:num>
  <w:num w:numId="5">
    <w:abstractNumId w:val="3"/>
  </w:num>
  <w:num w:numId="6">
    <w:abstractNumId w:val="23"/>
  </w:num>
  <w:num w:numId="7">
    <w:abstractNumId w:val="16"/>
  </w:num>
  <w:num w:numId="8">
    <w:abstractNumId w:val="0"/>
  </w:num>
  <w:num w:numId="9">
    <w:abstractNumId w:val="9"/>
  </w:num>
  <w:num w:numId="10">
    <w:abstractNumId w:val="12"/>
  </w:num>
  <w:num w:numId="11">
    <w:abstractNumId w:val="21"/>
  </w:num>
  <w:num w:numId="12">
    <w:abstractNumId w:val="13"/>
  </w:num>
  <w:num w:numId="13">
    <w:abstractNumId w:val="17"/>
  </w:num>
  <w:num w:numId="14">
    <w:abstractNumId w:val="10"/>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9"/>
  </w:num>
  <w:num w:numId="18">
    <w:abstractNumId w:val="8"/>
  </w:num>
  <w:num w:numId="19">
    <w:abstractNumId w:val="18"/>
  </w:num>
  <w:num w:numId="20">
    <w:abstractNumId w:val="7"/>
  </w:num>
  <w:num w:numId="21">
    <w:abstractNumId w:val="14"/>
  </w:num>
  <w:num w:numId="22">
    <w:abstractNumId w:val="20"/>
  </w:num>
  <w:num w:numId="23">
    <w:abstractNumId w:val="2"/>
  </w:num>
  <w:num w:numId="24">
    <w:abstractNumId w:val="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622"/>
    <w:rsid w:val="00003EC0"/>
    <w:rsid w:val="00017C8B"/>
    <w:rsid w:val="00022449"/>
    <w:rsid w:val="0002361E"/>
    <w:rsid w:val="00026266"/>
    <w:rsid w:val="000368C3"/>
    <w:rsid w:val="000378CC"/>
    <w:rsid w:val="00042970"/>
    <w:rsid w:val="0004371B"/>
    <w:rsid w:val="00046236"/>
    <w:rsid w:val="00063F95"/>
    <w:rsid w:val="00065B4A"/>
    <w:rsid w:val="000665D4"/>
    <w:rsid w:val="00067B9F"/>
    <w:rsid w:val="00067F93"/>
    <w:rsid w:val="00070761"/>
    <w:rsid w:val="00085C06"/>
    <w:rsid w:val="00086008"/>
    <w:rsid w:val="000965B8"/>
    <w:rsid w:val="000A0E5E"/>
    <w:rsid w:val="000A26CD"/>
    <w:rsid w:val="000A5218"/>
    <w:rsid w:val="000B3473"/>
    <w:rsid w:val="000B3893"/>
    <w:rsid w:val="000D4391"/>
    <w:rsid w:val="000D7CFF"/>
    <w:rsid w:val="000F4A99"/>
    <w:rsid w:val="00104118"/>
    <w:rsid w:val="00107946"/>
    <w:rsid w:val="00110045"/>
    <w:rsid w:val="00116E80"/>
    <w:rsid w:val="00117DFE"/>
    <w:rsid w:val="0012300A"/>
    <w:rsid w:val="001239D0"/>
    <w:rsid w:val="00125005"/>
    <w:rsid w:val="00134CF0"/>
    <w:rsid w:val="00135344"/>
    <w:rsid w:val="00161CE4"/>
    <w:rsid w:val="00161D63"/>
    <w:rsid w:val="00167489"/>
    <w:rsid w:val="001701CD"/>
    <w:rsid w:val="001714EA"/>
    <w:rsid w:val="0017379D"/>
    <w:rsid w:val="001770B0"/>
    <w:rsid w:val="00180846"/>
    <w:rsid w:val="00180F3A"/>
    <w:rsid w:val="00181936"/>
    <w:rsid w:val="00182628"/>
    <w:rsid w:val="001872A3"/>
    <w:rsid w:val="00192223"/>
    <w:rsid w:val="00192EA5"/>
    <w:rsid w:val="001A36A1"/>
    <w:rsid w:val="001A4863"/>
    <w:rsid w:val="001B022B"/>
    <w:rsid w:val="001B2036"/>
    <w:rsid w:val="001C2235"/>
    <w:rsid w:val="001C532E"/>
    <w:rsid w:val="001C6ECE"/>
    <w:rsid w:val="001C6F8A"/>
    <w:rsid w:val="001D3847"/>
    <w:rsid w:val="001E146F"/>
    <w:rsid w:val="001F0D3A"/>
    <w:rsid w:val="0020554C"/>
    <w:rsid w:val="00207014"/>
    <w:rsid w:val="00212416"/>
    <w:rsid w:val="002138DD"/>
    <w:rsid w:val="0022093B"/>
    <w:rsid w:val="002223F0"/>
    <w:rsid w:val="00222ADE"/>
    <w:rsid w:val="002407E8"/>
    <w:rsid w:val="0024194C"/>
    <w:rsid w:val="002424F6"/>
    <w:rsid w:val="00244B05"/>
    <w:rsid w:val="00245370"/>
    <w:rsid w:val="002459CF"/>
    <w:rsid w:val="00245B4D"/>
    <w:rsid w:val="00250521"/>
    <w:rsid w:val="002508B9"/>
    <w:rsid w:val="00251401"/>
    <w:rsid w:val="00253EBA"/>
    <w:rsid w:val="00254B28"/>
    <w:rsid w:val="00260045"/>
    <w:rsid w:val="002611B6"/>
    <w:rsid w:val="00266EE9"/>
    <w:rsid w:val="002678DB"/>
    <w:rsid w:val="002705C1"/>
    <w:rsid w:val="002712D9"/>
    <w:rsid w:val="00274157"/>
    <w:rsid w:val="00276507"/>
    <w:rsid w:val="002813C7"/>
    <w:rsid w:val="0029156E"/>
    <w:rsid w:val="00293E52"/>
    <w:rsid w:val="00294802"/>
    <w:rsid w:val="002B23A1"/>
    <w:rsid w:val="002C02CF"/>
    <w:rsid w:val="002C192B"/>
    <w:rsid w:val="002C1F04"/>
    <w:rsid w:val="002C7643"/>
    <w:rsid w:val="002D2C43"/>
    <w:rsid w:val="002D5FE0"/>
    <w:rsid w:val="002E120F"/>
    <w:rsid w:val="002E33E5"/>
    <w:rsid w:val="002E3ECD"/>
    <w:rsid w:val="002E6A6F"/>
    <w:rsid w:val="002E7AAD"/>
    <w:rsid w:val="002F2AFA"/>
    <w:rsid w:val="002F374D"/>
    <w:rsid w:val="002F7FE9"/>
    <w:rsid w:val="00300676"/>
    <w:rsid w:val="00305424"/>
    <w:rsid w:val="00307A79"/>
    <w:rsid w:val="00310E60"/>
    <w:rsid w:val="00313C13"/>
    <w:rsid w:val="00314AA1"/>
    <w:rsid w:val="00315CB5"/>
    <w:rsid w:val="00316937"/>
    <w:rsid w:val="00317E7F"/>
    <w:rsid w:val="0032032F"/>
    <w:rsid w:val="0032243E"/>
    <w:rsid w:val="0032654F"/>
    <w:rsid w:val="00327346"/>
    <w:rsid w:val="00327808"/>
    <w:rsid w:val="003335B0"/>
    <w:rsid w:val="00336DE6"/>
    <w:rsid w:val="00343F46"/>
    <w:rsid w:val="00347399"/>
    <w:rsid w:val="00354266"/>
    <w:rsid w:val="00357341"/>
    <w:rsid w:val="00357878"/>
    <w:rsid w:val="00361E11"/>
    <w:rsid w:val="00365323"/>
    <w:rsid w:val="00367912"/>
    <w:rsid w:val="00370170"/>
    <w:rsid w:val="00370B64"/>
    <w:rsid w:val="00370DA3"/>
    <w:rsid w:val="00373375"/>
    <w:rsid w:val="00374EA1"/>
    <w:rsid w:val="00382671"/>
    <w:rsid w:val="003827F6"/>
    <w:rsid w:val="00384A92"/>
    <w:rsid w:val="00391774"/>
    <w:rsid w:val="00393C92"/>
    <w:rsid w:val="003974FC"/>
    <w:rsid w:val="00397842"/>
    <w:rsid w:val="003C21EF"/>
    <w:rsid w:val="003D4B97"/>
    <w:rsid w:val="003D7115"/>
    <w:rsid w:val="003E0984"/>
    <w:rsid w:val="003E4F92"/>
    <w:rsid w:val="003F2825"/>
    <w:rsid w:val="004008C9"/>
    <w:rsid w:val="004014B6"/>
    <w:rsid w:val="004046B1"/>
    <w:rsid w:val="00415B6F"/>
    <w:rsid w:val="00417732"/>
    <w:rsid w:val="00423B8F"/>
    <w:rsid w:val="004303E7"/>
    <w:rsid w:val="00433323"/>
    <w:rsid w:val="0044193F"/>
    <w:rsid w:val="004444C3"/>
    <w:rsid w:val="0044637A"/>
    <w:rsid w:val="00452D02"/>
    <w:rsid w:val="004537B9"/>
    <w:rsid w:val="00453F94"/>
    <w:rsid w:val="0046201B"/>
    <w:rsid w:val="00467108"/>
    <w:rsid w:val="0047185D"/>
    <w:rsid w:val="00481DE7"/>
    <w:rsid w:val="00483E65"/>
    <w:rsid w:val="00492D42"/>
    <w:rsid w:val="00494122"/>
    <w:rsid w:val="00495EAF"/>
    <w:rsid w:val="004B31EC"/>
    <w:rsid w:val="004C66E9"/>
    <w:rsid w:val="004C7AD5"/>
    <w:rsid w:val="004D575F"/>
    <w:rsid w:val="004D7F19"/>
    <w:rsid w:val="004E354C"/>
    <w:rsid w:val="004E6BE5"/>
    <w:rsid w:val="004E7830"/>
    <w:rsid w:val="004E7A38"/>
    <w:rsid w:val="004F3378"/>
    <w:rsid w:val="004F33B6"/>
    <w:rsid w:val="004F5245"/>
    <w:rsid w:val="004F65F7"/>
    <w:rsid w:val="00500E74"/>
    <w:rsid w:val="00500FAF"/>
    <w:rsid w:val="00513D42"/>
    <w:rsid w:val="00530C2B"/>
    <w:rsid w:val="005329AB"/>
    <w:rsid w:val="0053503E"/>
    <w:rsid w:val="00541C78"/>
    <w:rsid w:val="005434AC"/>
    <w:rsid w:val="00544AC5"/>
    <w:rsid w:val="005461F5"/>
    <w:rsid w:val="00546772"/>
    <w:rsid w:val="005538F7"/>
    <w:rsid w:val="005555B6"/>
    <w:rsid w:val="00555E7F"/>
    <w:rsid w:val="00556943"/>
    <w:rsid w:val="00563C0B"/>
    <w:rsid w:val="00564FB6"/>
    <w:rsid w:val="0056526A"/>
    <w:rsid w:val="005671E7"/>
    <w:rsid w:val="00570810"/>
    <w:rsid w:val="00576FCD"/>
    <w:rsid w:val="0059064A"/>
    <w:rsid w:val="00594101"/>
    <w:rsid w:val="005955F6"/>
    <w:rsid w:val="00595F01"/>
    <w:rsid w:val="00597852"/>
    <w:rsid w:val="005B004F"/>
    <w:rsid w:val="005C11F8"/>
    <w:rsid w:val="005C6D3A"/>
    <w:rsid w:val="005E3EB5"/>
    <w:rsid w:val="005E3FC3"/>
    <w:rsid w:val="005E654A"/>
    <w:rsid w:val="005F39B7"/>
    <w:rsid w:val="005F509B"/>
    <w:rsid w:val="005F672E"/>
    <w:rsid w:val="005F6E6A"/>
    <w:rsid w:val="00600CE0"/>
    <w:rsid w:val="00602569"/>
    <w:rsid w:val="00603AB8"/>
    <w:rsid w:val="00603E82"/>
    <w:rsid w:val="00605B67"/>
    <w:rsid w:val="006107D5"/>
    <w:rsid w:val="0061113F"/>
    <w:rsid w:val="0061262A"/>
    <w:rsid w:val="00616679"/>
    <w:rsid w:val="00616F62"/>
    <w:rsid w:val="00617546"/>
    <w:rsid w:val="00621107"/>
    <w:rsid w:val="0062146B"/>
    <w:rsid w:val="00624DDE"/>
    <w:rsid w:val="00625FC8"/>
    <w:rsid w:val="0062664F"/>
    <w:rsid w:val="00631FA6"/>
    <w:rsid w:val="006323F4"/>
    <w:rsid w:val="006330D5"/>
    <w:rsid w:val="00634DC8"/>
    <w:rsid w:val="00636134"/>
    <w:rsid w:val="006444E4"/>
    <w:rsid w:val="00645931"/>
    <w:rsid w:val="006503C5"/>
    <w:rsid w:val="00651FAD"/>
    <w:rsid w:val="00655341"/>
    <w:rsid w:val="0066010B"/>
    <w:rsid w:val="00661485"/>
    <w:rsid w:val="00671CD8"/>
    <w:rsid w:val="0067663E"/>
    <w:rsid w:val="00684FC4"/>
    <w:rsid w:val="00690452"/>
    <w:rsid w:val="00691486"/>
    <w:rsid w:val="00691FE2"/>
    <w:rsid w:val="00694907"/>
    <w:rsid w:val="00694E70"/>
    <w:rsid w:val="00697303"/>
    <w:rsid w:val="006A1463"/>
    <w:rsid w:val="006A381A"/>
    <w:rsid w:val="006A6073"/>
    <w:rsid w:val="006A7CD4"/>
    <w:rsid w:val="006B0582"/>
    <w:rsid w:val="006B3B7E"/>
    <w:rsid w:val="006B51BA"/>
    <w:rsid w:val="006B5972"/>
    <w:rsid w:val="006B5FD5"/>
    <w:rsid w:val="006E1F31"/>
    <w:rsid w:val="006E2C54"/>
    <w:rsid w:val="006F0240"/>
    <w:rsid w:val="006F0B64"/>
    <w:rsid w:val="006F179A"/>
    <w:rsid w:val="006F19EA"/>
    <w:rsid w:val="006F2380"/>
    <w:rsid w:val="0071254A"/>
    <w:rsid w:val="00714DBA"/>
    <w:rsid w:val="0072505D"/>
    <w:rsid w:val="007269D4"/>
    <w:rsid w:val="007325A4"/>
    <w:rsid w:val="0073706B"/>
    <w:rsid w:val="00737701"/>
    <w:rsid w:val="0074511F"/>
    <w:rsid w:val="00745533"/>
    <w:rsid w:val="007463F0"/>
    <w:rsid w:val="007478B8"/>
    <w:rsid w:val="007519F9"/>
    <w:rsid w:val="00751ABC"/>
    <w:rsid w:val="00754044"/>
    <w:rsid w:val="00763901"/>
    <w:rsid w:val="00767328"/>
    <w:rsid w:val="007742E0"/>
    <w:rsid w:val="00774D29"/>
    <w:rsid w:val="00775D25"/>
    <w:rsid w:val="0078386C"/>
    <w:rsid w:val="00786B74"/>
    <w:rsid w:val="00790D11"/>
    <w:rsid w:val="007914D0"/>
    <w:rsid w:val="0079307D"/>
    <w:rsid w:val="00796650"/>
    <w:rsid w:val="007A2CA5"/>
    <w:rsid w:val="007A40B0"/>
    <w:rsid w:val="007A5026"/>
    <w:rsid w:val="007A5825"/>
    <w:rsid w:val="007B5FA3"/>
    <w:rsid w:val="007D002C"/>
    <w:rsid w:val="007D557C"/>
    <w:rsid w:val="007D7595"/>
    <w:rsid w:val="007E0391"/>
    <w:rsid w:val="007E04F1"/>
    <w:rsid w:val="007E4955"/>
    <w:rsid w:val="0080150A"/>
    <w:rsid w:val="0080438A"/>
    <w:rsid w:val="00805AAC"/>
    <w:rsid w:val="00812623"/>
    <w:rsid w:val="00815FB8"/>
    <w:rsid w:val="008174F4"/>
    <w:rsid w:val="00817FA3"/>
    <w:rsid w:val="0083066C"/>
    <w:rsid w:val="00831E01"/>
    <w:rsid w:val="008324D0"/>
    <w:rsid w:val="008353FB"/>
    <w:rsid w:val="00836E58"/>
    <w:rsid w:val="00840E25"/>
    <w:rsid w:val="00843642"/>
    <w:rsid w:val="00843B4E"/>
    <w:rsid w:val="00847234"/>
    <w:rsid w:val="00847624"/>
    <w:rsid w:val="00850E66"/>
    <w:rsid w:val="008568C4"/>
    <w:rsid w:val="008605B4"/>
    <w:rsid w:val="00861705"/>
    <w:rsid w:val="00861CDD"/>
    <w:rsid w:val="00862644"/>
    <w:rsid w:val="008631C6"/>
    <w:rsid w:val="00864223"/>
    <w:rsid w:val="00865B84"/>
    <w:rsid w:val="00870139"/>
    <w:rsid w:val="00870B51"/>
    <w:rsid w:val="0087271E"/>
    <w:rsid w:val="00880EBD"/>
    <w:rsid w:val="008815CA"/>
    <w:rsid w:val="0088189A"/>
    <w:rsid w:val="008849D2"/>
    <w:rsid w:val="00887A71"/>
    <w:rsid w:val="008A3F83"/>
    <w:rsid w:val="008A5B5C"/>
    <w:rsid w:val="008B0B23"/>
    <w:rsid w:val="008B0B7C"/>
    <w:rsid w:val="008B39C2"/>
    <w:rsid w:val="008B57F5"/>
    <w:rsid w:val="008B62AC"/>
    <w:rsid w:val="008D13A3"/>
    <w:rsid w:val="008D1905"/>
    <w:rsid w:val="008D4014"/>
    <w:rsid w:val="008E2D2F"/>
    <w:rsid w:val="008E33D4"/>
    <w:rsid w:val="008E3ED5"/>
    <w:rsid w:val="008E7DF6"/>
    <w:rsid w:val="008F0C63"/>
    <w:rsid w:val="008F6EEB"/>
    <w:rsid w:val="00903D84"/>
    <w:rsid w:val="0090456B"/>
    <w:rsid w:val="00907C62"/>
    <w:rsid w:val="009106E1"/>
    <w:rsid w:val="00914DB9"/>
    <w:rsid w:val="009150B4"/>
    <w:rsid w:val="00915FB9"/>
    <w:rsid w:val="0092142D"/>
    <w:rsid w:val="00921CCA"/>
    <w:rsid w:val="0093207C"/>
    <w:rsid w:val="00932BCD"/>
    <w:rsid w:val="0093467B"/>
    <w:rsid w:val="00934FD8"/>
    <w:rsid w:val="00937E0C"/>
    <w:rsid w:val="009402D3"/>
    <w:rsid w:val="00962119"/>
    <w:rsid w:val="0096594B"/>
    <w:rsid w:val="00966148"/>
    <w:rsid w:val="00966EE2"/>
    <w:rsid w:val="0097785D"/>
    <w:rsid w:val="009811D3"/>
    <w:rsid w:val="009822C3"/>
    <w:rsid w:val="009A3813"/>
    <w:rsid w:val="009A4425"/>
    <w:rsid w:val="009B4C0D"/>
    <w:rsid w:val="009C1514"/>
    <w:rsid w:val="009C2608"/>
    <w:rsid w:val="009C465F"/>
    <w:rsid w:val="009D5845"/>
    <w:rsid w:val="009E5906"/>
    <w:rsid w:val="009F34B5"/>
    <w:rsid w:val="009F4614"/>
    <w:rsid w:val="00A04025"/>
    <w:rsid w:val="00A0429A"/>
    <w:rsid w:val="00A1016C"/>
    <w:rsid w:val="00A15A71"/>
    <w:rsid w:val="00A21CAD"/>
    <w:rsid w:val="00A25EE6"/>
    <w:rsid w:val="00A3005A"/>
    <w:rsid w:val="00A30E6A"/>
    <w:rsid w:val="00A31981"/>
    <w:rsid w:val="00A3328F"/>
    <w:rsid w:val="00A360C6"/>
    <w:rsid w:val="00A40F06"/>
    <w:rsid w:val="00A529E8"/>
    <w:rsid w:val="00A52A87"/>
    <w:rsid w:val="00A53B85"/>
    <w:rsid w:val="00A6314E"/>
    <w:rsid w:val="00A67075"/>
    <w:rsid w:val="00A67542"/>
    <w:rsid w:val="00A67618"/>
    <w:rsid w:val="00A678AD"/>
    <w:rsid w:val="00A70247"/>
    <w:rsid w:val="00A725F2"/>
    <w:rsid w:val="00A75C09"/>
    <w:rsid w:val="00A7688C"/>
    <w:rsid w:val="00A802B4"/>
    <w:rsid w:val="00A82DE6"/>
    <w:rsid w:val="00A8359B"/>
    <w:rsid w:val="00A83DC9"/>
    <w:rsid w:val="00A92D22"/>
    <w:rsid w:val="00A97190"/>
    <w:rsid w:val="00AA39D8"/>
    <w:rsid w:val="00AA5F4C"/>
    <w:rsid w:val="00AB166F"/>
    <w:rsid w:val="00AB1AB5"/>
    <w:rsid w:val="00AB3709"/>
    <w:rsid w:val="00AB3778"/>
    <w:rsid w:val="00AB3E53"/>
    <w:rsid w:val="00AB5495"/>
    <w:rsid w:val="00AB6BAF"/>
    <w:rsid w:val="00AC28D0"/>
    <w:rsid w:val="00AC68C8"/>
    <w:rsid w:val="00AC797B"/>
    <w:rsid w:val="00AD5C2A"/>
    <w:rsid w:val="00AE6EDB"/>
    <w:rsid w:val="00AE7AB0"/>
    <w:rsid w:val="00B34B9A"/>
    <w:rsid w:val="00B4004A"/>
    <w:rsid w:val="00B412CF"/>
    <w:rsid w:val="00B43193"/>
    <w:rsid w:val="00B4444C"/>
    <w:rsid w:val="00B476D7"/>
    <w:rsid w:val="00B506D8"/>
    <w:rsid w:val="00B510F0"/>
    <w:rsid w:val="00B53BC8"/>
    <w:rsid w:val="00B54150"/>
    <w:rsid w:val="00B5545F"/>
    <w:rsid w:val="00B60E61"/>
    <w:rsid w:val="00B63F0F"/>
    <w:rsid w:val="00B707C6"/>
    <w:rsid w:val="00B72B35"/>
    <w:rsid w:val="00B748BF"/>
    <w:rsid w:val="00B75AA7"/>
    <w:rsid w:val="00B77651"/>
    <w:rsid w:val="00B82CEE"/>
    <w:rsid w:val="00B83BAB"/>
    <w:rsid w:val="00BA3FE0"/>
    <w:rsid w:val="00BA6723"/>
    <w:rsid w:val="00BC211E"/>
    <w:rsid w:val="00BC5DE5"/>
    <w:rsid w:val="00BE46B4"/>
    <w:rsid w:val="00BE48BC"/>
    <w:rsid w:val="00BE5A16"/>
    <w:rsid w:val="00BF0D97"/>
    <w:rsid w:val="00BF33AA"/>
    <w:rsid w:val="00BF456E"/>
    <w:rsid w:val="00C06705"/>
    <w:rsid w:val="00C1699E"/>
    <w:rsid w:val="00C23D96"/>
    <w:rsid w:val="00C30ADB"/>
    <w:rsid w:val="00C40E61"/>
    <w:rsid w:val="00C41B35"/>
    <w:rsid w:val="00C50299"/>
    <w:rsid w:val="00C52B2B"/>
    <w:rsid w:val="00C57A81"/>
    <w:rsid w:val="00C61900"/>
    <w:rsid w:val="00C61A9E"/>
    <w:rsid w:val="00C63806"/>
    <w:rsid w:val="00C71DA7"/>
    <w:rsid w:val="00C73871"/>
    <w:rsid w:val="00C74DEF"/>
    <w:rsid w:val="00C75E55"/>
    <w:rsid w:val="00C77D3A"/>
    <w:rsid w:val="00C85543"/>
    <w:rsid w:val="00C86F78"/>
    <w:rsid w:val="00C9000B"/>
    <w:rsid w:val="00C900A5"/>
    <w:rsid w:val="00C90DB8"/>
    <w:rsid w:val="00CA4220"/>
    <w:rsid w:val="00CA43B1"/>
    <w:rsid w:val="00CA4A40"/>
    <w:rsid w:val="00CA4D30"/>
    <w:rsid w:val="00CA58D2"/>
    <w:rsid w:val="00CD0622"/>
    <w:rsid w:val="00CD1182"/>
    <w:rsid w:val="00CD243F"/>
    <w:rsid w:val="00CD3BB9"/>
    <w:rsid w:val="00CD65A9"/>
    <w:rsid w:val="00CE0C86"/>
    <w:rsid w:val="00CE6CFB"/>
    <w:rsid w:val="00CF04EE"/>
    <w:rsid w:val="00CF1AE1"/>
    <w:rsid w:val="00CF69A5"/>
    <w:rsid w:val="00D11F85"/>
    <w:rsid w:val="00D12CCC"/>
    <w:rsid w:val="00D15AF6"/>
    <w:rsid w:val="00D16856"/>
    <w:rsid w:val="00D217E4"/>
    <w:rsid w:val="00D24BC9"/>
    <w:rsid w:val="00D24C5D"/>
    <w:rsid w:val="00D266D4"/>
    <w:rsid w:val="00D30478"/>
    <w:rsid w:val="00D4328B"/>
    <w:rsid w:val="00D44267"/>
    <w:rsid w:val="00D449C8"/>
    <w:rsid w:val="00D44CA6"/>
    <w:rsid w:val="00D50151"/>
    <w:rsid w:val="00D5214C"/>
    <w:rsid w:val="00D56255"/>
    <w:rsid w:val="00D57086"/>
    <w:rsid w:val="00D64A76"/>
    <w:rsid w:val="00D756C7"/>
    <w:rsid w:val="00D776B1"/>
    <w:rsid w:val="00D81515"/>
    <w:rsid w:val="00D81F75"/>
    <w:rsid w:val="00D85F51"/>
    <w:rsid w:val="00D87959"/>
    <w:rsid w:val="00D95178"/>
    <w:rsid w:val="00D95215"/>
    <w:rsid w:val="00DA2D36"/>
    <w:rsid w:val="00DB2028"/>
    <w:rsid w:val="00DB2995"/>
    <w:rsid w:val="00DB376C"/>
    <w:rsid w:val="00DB46E9"/>
    <w:rsid w:val="00DD4D4C"/>
    <w:rsid w:val="00DE7092"/>
    <w:rsid w:val="00DE7613"/>
    <w:rsid w:val="00DF323B"/>
    <w:rsid w:val="00DF32D8"/>
    <w:rsid w:val="00DF53A4"/>
    <w:rsid w:val="00E03B07"/>
    <w:rsid w:val="00E067FF"/>
    <w:rsid w:val="00E07B83"/>
    <w:rsid w:val="00E22A07"/>
    <w:rsid w:val="00E31FCE"/>
    <w:rsid w:val="00E3442F"/>
    <w:rsid w:val="00E37831"/>
    <w:rsid w:val="00E411D2"/>
    <w:rsid w:val="00E45F2E"/>
    <w:rsid w:val="00E52D76"/>
    <w:rsid w:val="00E540C7"/>
    <w:rsid w:val="00E546A6"/>
    <w:rsid w:val="00E55587"/>
    <w:rsid w:val="00E67994"/>
    <w:rsid w:val="00E71129"/>
    <w:rsid w:val="00E874BC"/>
    <w:rsid w:val="00E916F3"/>
    <w:rsid w:val="00E91C3D"/>
    <w:rsid w:val="00E9549F"/>
    <w:rsid w:val="00E961FE"/>
    <w:rsid w:val="00EA4A6C"/>
    <w:rsid w:val="00EA6185"/>
    <w:rsid w:val="00EB016F"/>
    <w:rsid w:val="00EB15E0"/>
    <w:rsid w:val="00EB1BB2"/>
    <w:rsid w:val="00EB63A8"/>
    <w:rsid w:val="00EB6C15"/>
    <w:rsid w:val="00EB706C"/>
    <w:rsid w:val="00EB7D05"/>
    <w:rsid w:val="00EC12B5"/>
    <w:rsid w:val="00ED112A"/>
    <w:rsid w:val="00ED24D4"/>
    <w:rsid w:val="00EE12AA"/>
    <w:rsid w:val="00EE18B5"/>
    <w:rsid w:val="00EE3A29"/>
    <w:rsid w:val="00EE6186"/>
    <w:rsid w:val="00EE62C3"/>
    <w:rsid w:val="00EF3F7E"/>
    <w:rsid w:val="00EF4BBA"/>
    <w:rsid w:val="00EF6A0D"/>
    <w:rsid w:val="00F03487"/>
    <w:rsid w:val="00F05727"/>
    <w:rsid w:val="00F11EB7"/>
    <w:rsid w:val="00F22533"/>
    <w:rsid w:val="00F27A2F"/>
    <w:rsid w:val="00F35777"/>
    <w:rsid w:val="00F36EF9"/>
    <w:rsid w:val="00F4168D"/>
    <w:rsid w:val="00F41A91"/>
    <w:rsid w:val="00F42BF6"/>
    <w:rsid w:val="00F443B3"/>
    <w:rsid w:val="00F448B2"/>
    <w:rsid w:val="00F4561C"/>
    <w:rsid w:val="00F52959"/>
    <w:rsid w:val="00F55103"/>
    <w:rsid w:val="00F62428"/>
    <w:rsid w:val="00F6462B"/>
    <w:rsid w:val="00F66CAA"/>
    <w:rsid w:val="00F72BCA"/>
    <w:rsid w:val="00F73075"/>
    <w:rsid w:val="00F73250"/>
    <w:rsid w:val="00F759E7"/>
    <w:rsid w:val="00F85719"/>
    <w:rsid w:val="00F918DA"/>
    <w:rsid w:val="00F97A07"/>
    <w:rsid w:val="00FA44FB"/>
    <w:rsid w:val="00FB007C"/>
    <w:rsid w:val="00FB0EAE"/>
    <w:rsid w:val="00FC0715"/>
    <w:rsid w:val="00FC5DD3"/>
    <w:rsid w:val="00FD20C4"/>
    <w:rsid w:val="00FD2C91"/>
    <w:rsid w:val="00FE08D2"/>
    <w:rsid w:val="00FE40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2BDC4F"/>
  <w15:docId w15:val="{C41B613D-1E29-43FD-A018-3A428D09D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201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D0622"/>
    <w:pPr>
      <w:keepNext/>
      <w:outlineLvl w:val="0"/>
    </w:pPr>
    <w:rPr>
      <w:sz w:val="24"/>
    </w:rPr>
  </w:style>
  <w:style w:type="paragraph" w:styleId="Nagwek2">
    <w:name w:val="heading 2"/>
    <w:basedOn w:val="Normalny"/>
    <w:next w:val="Normalny"/>
    <w:link w:val="Nagwek2Znak"/>
    <w:qFormat/>
    <w:rsid w:val="00CD0622"/>
    <w:pPr>
      <w:keepNext/>
      <w:jc w:val="center"/>
      <w:outlineLvl w:val="1"/>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Wyrnieniedelikatne">
    <w:name w:val="Subtle Emphasis"/>
    <w:basedOn w:val="Domylnaczcionkaakapitu"/>
    <w:uiPriority w:val="19"/>
    <w:qFormat/>
    <w:rsid w:val="009A3813"/>
    <w:rPr>
      <w:rFonts w:asciiTheme="minorHAnsi" w:hAnsiTheme="minorHAnsi"/>
      <w:i/>
      <w:iCs/>
      <w:color w:val="404040" w:themeColor="text1" w:themeTint="BF"/>
      <w:sz w:val="24"/>
    </w:rPr>
  </w:style>
  <w:style w:type="character" w:customStyle="1" w:styleId="Nagwek1Znak">
    <w:name w:val="Nagłówek 1 Znak"/>
    <w:basedOn w:val="Domylnaczcionkaakapitu"/>
    <w:link w:val="Nagwek1"/>
    <w:rsid w:val="00CD0622"/>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CD0622"/>
    <w:rPr>
      <w:rFonts w:ascii="Times New Roman" w:eastAsia="Times New Roman" w:hAnsi="Times New Roman" w:cs="Times New Roman"/>
      <w:b/>
      <w:szCs w:val="20"/>
      <w:lang w:eastAsia="pl-PL"/>
    </w:rPr>
  </w:style>
  <w:style w:type="character" w:styleId="Odwoaniedokomentarza">
    <w:name w:val="annotation reference"/>
    <w:uiPriority w:val="99"/>
    <w:semiHidden/>
    <w:rsid w:val="00CD0622"/>
    <w:rPr>
      <w:sz w:val="16"/>
      <w:szCs w:val="16"/>
    </w:rPr>
  </w:style>
  <w:style w:type="paragraph" w:styleId="Tekstkomentarza">
    <w:name w:val="annotation text"/>
    <w:basedOn w:val="Normalny"/>
    <w:link w:val="TekstkomentarzaZnak"/>
    <w:uiPriority w:val="99"/>
    <w:semiHidden/>
    <w:rsid w:val="00CD0622"/>
  </w:style>
  <w:style w:type="character" w:customStyle="1" w:styleId="TekstkomentarzaZnak">
    <w:name w:val="Tekst komentarza Znak"/>
    <w:basedOn w:val="Domylnaczcionkaakapitu"/>
    <w:link w:val="Tekstkomentarza"/>
    <w:uiPriority w:val="99"/>
    <w:semiHidden/>
    <w:rsid w:val="00CD062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D0622"/>
    <w:rPr>
      <w:rFonts w:ascii="Segoe UI" w:hAnsi="Segoe UI" w:cs="Segoe UI"/>
      <w:sz w:val="18"/>
      <w:szCs w:val="18"/>
    </w:rPr>
  </w:style>
  <w:style w:type="character" w:customStyle="1" w:styleId="TekstdymkaZnak">
    <w:name w:val="Tekst dymka Znak"/>
    <w:basedOn w:val="Domylnaczcionkaakapitu"/>
    <w:link w:val="Tekstdymka"/>
    <w:uiPriority w:val="99"/>
    <w:semiHidden/>
    <w:rsid w:val="00CD0622"/>
    <w:rPr>
      <w:rFonts w:ascii="Segoe UI" w:eastAsia="Times New Roman" w:hAnsi="Segoe UI" w:cs="Segoe UI"/>
      <w:sz w:val="18"/>
      <w:szCs w:val="18"/>
      <w:lang w:eastAsia="pl-PL"/>
    </w:rPr>
  </w:style>
  <w:style w:type="paragraph" w:customStyle="1" w:styleId="Default">
    <w:name w:val="Default"/>
    <w:rsid w:val="005F39B7"/>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link w:val="AkapitzlistZnak"/>
    <w:uiPriority w:val="34"/>
    <w:qFormat/>
    <w:rsid w:val="005F39B7"/>
    <w:pPr>
      <w:ind w:left="720"/>
      <w:contextualSpacing/>
    </w:pPr>
  </w:style>
  <w:style w:type="paragraph" w:styleId="Tematkomentarza">
    <w:name w:val="annotation subject"/>
    <w:basedOn w:val="Tekstkomentarza"/>
    <w:next w:val="Tekstkomentarza"/>
    <w:link w:val="TematkomentarzaZnak"/>
    <w:uiPriority w:val="99"/>
    <w:semiHidden/>
    <w:unhideWhenUsed/>
    <w:rsid w:val="00602569"/>
    <w:rPr>
      <w:b/>
      <w:bCs/>
    </w:rPr>
  </w:style>
  <w:style w:type="character" w:customStyle="1" w:styleId="TematkomentarzaZnak">
    <w:name w:val="Temat komentarza Znak"/>
    <w:basedOn w:val="TekstkomentarzaZnak"/>
    <w:link w:val="Tematkomentarza"/>
    <w:uiPriority w:val="99"/>
    <w:semiHidden/>
    <w:rsid w:val="00602569"/>
    <w:rPr>
      <w:rFonts w:ascii="Times New Roman" w:eastAsia="Times New Roman" w:hAnsi="Times New Roman" w:cs="Times New Roman"/>
      <w:b/>
      <w:bCs/>
      <w:sz w:val="20"/>
      <w:szCs w:val="20"/>
      <w:lang w:eastAsia="pl-PL"/>
    </w:rPr>
  </w:style>
  <w:style w:type="paragraph" w:customStyle="1" w:styleId="LITlitera">
    <w:name w:val="LIT – litera"/>
    <w:basedOn w:val="Normalny"/>
    <w:uiPriority w:val="14"/>
    <w:qFormat/>
    <w:rsid w:val="006F179A"/>
    <w:pPr>
      <w:spacing w:line="360" w:lineRule="auto"/>
      <w:ind w:left="986" w:hanging="476"/>
      <w:jc w:val="both"/>
    </w:pPr>
    <w:rPr>
      <w:rFonts w:ascii="Times" w:eastAsiaTheme="minorEastAsia" w:hAnsi="Times" w:cs="Arial"/>
      <w:bCs/>
      <w:sz w:val="24"/>
    </w:rPr>
  </w:style>
  <w:style w:type="character" w:customStyle="1" w:styleId="Ppogrubienie">
    <w:name w:val="_P_ – pogrubienie"/>
    <w:basedOn w:val="Domylnaczcionkaakapitu"/>
    <w:uiPriority w:val="1"/>
    <w:qFormat/>
    <w:rsid w:val="006F179A"/>
    <w:rPr>
      <w:b/>
    </w:rPr>
  </w:style>
  <w:style w:type="table" w:styleId="Tabela-Siatka">
    <w:name w:val="Table Grid"/>
    <w:basedOn w:val="Standardowy"/>
    <w:uiPriority w:val="39"/>
    <w:rsid w:val="00EF3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23A1"/>
    <w:pPr>
      <w:tabs>
        <w:tab w:val="center" w:pos="4536"/>
        <w:tab w:val="right" w:pos="9072"/>
      </w:tabs>
    </w:pPr>
  </w:style>
  <w:style w:type="character" w:customStyle="1" w:styleId="NagwekZnak">
    <w:name w:val="Nagłówek Znak"/>
    <w:basedOn w:val="Domylnaczcionkaakapitu"/>
    <w:link w:val="Nagwek"/>
    <w:uiPriority w:val="99"/>
    <w:rsid w:val="002B23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B23A1"/>
    <w:pPr>
      <w:tabs>
        <w:tab w:val="center" w:pos="4536"/>
        <w:tab w:val="right" w:pos="9072"/>
      </w:tabs>
    </w:pPr>
  </w:style>
  <w:style w:type="character" w:customStyle="1" w:styleId="StopkaZnak">
    <w:name w:val="Stopka Znak"/>
    <w:basedOn w:val="Domylnaczcionkaakapitu"/>
    <w:link w:val="Stopka"/>
    <w:uiPriority w:val="99"/>
    <w:rsid w:val="002B23A1"/>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C86F78"/>
  </w:style>
  <w:style w:type="character" w:customStyle="1" w:styleId="TekstprzypisudolnegoZnak">
    <w:name w:val="Tekst przypisu dolnego Znak"/>
    <w:basedOn w:val="Domylnaczcionkaakapitu"/>
    <w:link w:val="Tekstprzypisudolnego"/>
    <w:uiPriority w:val="99"/>
    <w:semiHidden/>
    <w:rsid w:val="00C86F78"/>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C86F78"/>
    <w:rPr>
      <w:vertAlign w:val="superscript"/>
    </w:rPr>
  </w:style>
  <w:style w:type="character" w:customStyle="1" w:styleId="AkapitzlistZnak">
    <w:name w:val="Akapit z listą Znak"/>
    <w:basedOn w:val="Domylnaczcionkaakapitu"/>
    <w:link w:val="Akapitzlist"/>
    <w:uiPriority w:val="34"/>
    <w:rsid w:val="00DF53A4"/>
    <w:rPr>
      <w:rFonts w:ascii="Times New Roman" w:eastAsia="Times New Roman" w:hAnsi="Times New Roman" w:cs="Times New Roman"/>
      <w:sz w:val="20"/>
      <w:szCs w:val="20"/>
      <w:lang w:eastAsia="pl-PL"/>
    </w:rPr>
  </w:style>
  <w:style w:type="paragraph" w:customStyle="1" w:styleId="Tabela">
    <w:name w:val="Tabela"/>
    <w:next w:val="Normalny"/>
    <w:uiPriority w:val="99"/>
    <w:rsid w:val="001239D0"/>
    <w:pPr>
      <w:widowControl w:val="0"/>
      <w:autoSpaceDE w:val="0"/>
      <w:autoSpaceDN w:val="0"/>
      <w:adjustRightInd w:val="0"/>
      <w:spacing w:after="0" w:line="240" w:lineRule="auto"/>
    </w:pPr>
    <w:rPr>
      <w:rFonts w:ascii="Verdana" w:eastAsia="Times New Roman" w:hAnsi="Verdana" w:cs="Verdana"/>
      <w:sz w:val="20"/>
      <w:szCs w:val="20"/>
      <w:lang w:eastAsia="pl-PL"/>
    </w:rPr>
  </w:style>
  <w:style w:type="paragraph" w:styleId="Bezodstpw">
    <w:name w:val="No Spacing"/>
    <w:uiPriority w:val="1"/>
    <w:qFormat/>
    <w:rsid w:val="00B4444C"/>
    <w:pPr>
      <w:widowControl w:val="0"/>
      <w:autoSpaceDE w:val="0"/>
      <w:autoSpaceDN w:val="0"/>
      <w:adjustRightInd w:val="0"/>
      <w:spacing w:after="0" w:line="240" w:lineRule="auto"/>
    </w:pPr>
    <w:rPr>
      <w:rFonts w:ascii="Verdana" w:eastAsia="Times New Roman" w:hAnsi="Verdana" w:cs="Times New Roman"/>
      <w:sz w:val="20"/>
      <w:szCs w:val="20"/>
      <w:lang w:eastAsia="pl-PL"/>
    </w:rPr>
  </w:style>
  <w:style w:type="character" w:customStyle="1" w:styleId="mr-auto">
    <w:name w:val="mr-auto"/>
    <w:basedOn w:val="Domylnaczcionkaakapitu"/>
    <w:rsid w:val="002F2AFA"/>
  </w:style>
  <w:style w:type="character" w:styleId="Hipercze">
    <w:name w:val="Hyperlink"/>
    <w:basedOn w:val="Domylnaczcionkaakapitu"/>
    <w:uiPriority w:val="99"/>
    <w:semiHidden/>
    <w:unhideWhenUsed/>
    <w:rsid w:val="002F2AFA"/>
    <w:rPr>
      <w:color w:val="0000FF"/>
      <w:u w:val="single"/>
    </w:rPr>
  </w:style>
  <w:style w:type="paragraph" w:customStyle="1" w:styleId="xmsonospacing">
    <w:name w:val="x_msonospacing"/>
    <w:basedOn w:val="Normalny"/>
    <w:rsid w:val="00314AA1"/>
    <w:pPr>
      <w:spacing w:before="100" w:beforeAutospacing="1" w:after="100" w:afterAutospacing="1"/>
    </w:pPr>
    <w:rPr>
      <w:sz w:val="24"/>
      <w:szCs w:val="24"/>
    </w:rPr>
  </w:style>
  <w:style w:type="paragraph" w:styleId="Tekstprzypisukocowego">
    <w:name w:val="endnote text"/>
    <w:basedOn w:val="Normalny"/>
    <w:link w:val="TekstprzypisukocowegoZnak"/>
    <w:uiPriority w:val="99"/>
    <w:semiHidden/>
    <w:unhideWhenUsed/>
    <w:rsid w:val="00E067FF"/>
  </w:style>
  <w:style w:type="character" w:customStyle="1" w:styleId="TekstprzypisukocowegoZnak">
    <w:name w:val="Tekst przypisu końcowego Znak"/>
    <w:basedOn w:val="Domylnaczcionkaakapitu"/>
    <w:link w:val="Tekstprzypisukocowego"/>
    <w:uiPriority w:val="99"/>
    <w:semiHidden/>
    <w:rsid w:val="00E067F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067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3475">
      <w:bodyDiv w:val="1"/>
      <w:marLeft w:val="0"/>
      <w:marRight w:val="0"/>
      <w:marTop w:val="0"/>
      <w:marBottom w:val="0"/>
      <w:divBdr>
        <w:top w:val="none" w:sz="0" w:space="0" w:color="auto"/>
        <w:left w:val="none" w:sz="0" w:space="0" w:color="auto"/>
        <w:bottom w:val="none" w:sz="0" w:space="0" w:color="auto"/>
        <w:right w:val="none" w:sz="0" w:space="0" w:color="auto"/>
      </w:divBdr>
    </w:div>
    <w:div w:id="20398980">
      <w:bodyDiv w:val="1"/>
      <w:marLeft w:val="0"/>
      <w:marRight w:val="0"/>
      <w:marTop w:val="0"/>
      <w:marBottom w:val="0"/>
      <w:divBdr>
        <w:top w:val="none" w:sz="0" w:space="0" w:color="auto"/>
        <w:left w:val="none" w:sz="0" w:space="0" w:color="auto"/>
        <w:bottom w:val="none" w:sz="0" w:space="0" w:color="auto"/>
        <w:right w:val="none" w:sz="0" w:space="0" w:color="auto"/>
      </w:divBdr>
    </w:div>
    <w:div w:id="36979133">
      <w:bodyDiv w:val="1"/>
      <w:marLeft w:val="0"/>
      <w:marRight w:val="0"/>
      <w:marTop w:val="0"/>
      <w:marBottom w:val="0"/>
      <w:divBdr>
        <w:top w:val="none" w:sz="0" w:space="0" w:color="auto"/>
        <w:left w:val="none" w:sz="0" w:space="0" w:color="auto"/>
        <w:bottom w:val="none" w:sz="0" w:space="0" w:color="auto"/>
        <w:right w:val="none" w:sz="0" w:space="0" w:color="auto"/>
      </w:divBdr>
    </w:div>
    <w:div w:id="41248882">
      <w:bodyDiv w:val="1"/>
      <w:marLeft w:val="0"/>
      <w:marRight w:val="0"/>
      <w:marTop w:val="0"/>
      <w:marBottom w:val="0"/>
      <w:divBdr>
        <w:top w:val="none" w:sz="0" w:space="0" w:color="auto"/>
        <w:left w:val="none" w:sz="0" w:space="0" w:color="auto"/>
        <w:bottom w:val="none" w:sz="0" w:space="0" w:color="auto"/>
        <w:right w:val="none" w:sz="0" w:space="0" w:color="auto"/>
      </w:divBdr>
    </w:div>
    <w:div w:id="183440552">
      <w:bodyDiv w:val="1"/>
      <w:marLeft w:val="0"/>
      <w:marRight w:val="0"/>
      <w:marTop w:val="0"/>
      <w:marBottom w:val="0"/>
      <w:divBdr>
        <w:top w:val="none" w:sz="0" w:space="0" w:color="auto"/>
        <w:left w:val="none" w:sz="0" w:space="0" w:color="auto"/>
        <w:bottom w:val="none" w:sz="0" w:space="0" w:color="auto"/>
        <w:right w:val="none" w:sz="0" w:space="0" w:color="auto"/>
      </w:divBdr>
    </w:div>
    <w:div w:id="359479963">
      <w:bodyDiv w:val="1"/>
      <w:marLeft w:val="0"/>
      <w:marRight w:val="0"/>
      <w:marTop w:val="0"/>
      <w:marBottom w:val="0"/>
      <w:divBdr>
        <w:top w:val="none" w:sz="0" w:space="0" w:color="auto"/>
        <w:left w:val="none" w:sz="0" w:space="0" w:color="auto"/>
        <w:bottom w:val="none" w:sz="0" w:space="0" w:color="auto"/>
        <w:right w:val="none" w:sz="0" w:space="0" w:color="auto"/>
      </w:divBdr>
    </w:div>
    <w:div w:id="480541259">
      <w:bodyDiv w:val="1"/>
      <w:marLeft w:val="0"/>
      <w:marRight w:val="0"/>
      <w:marTop w:val="0"/>
      <w:marBottom w:val="0"/>
      <w:divBdr>
        <w:top w:val="none" w:sz="0" w:space="0" w:color="auto"/>
        <w:left w:val="none" w:sz="0" w:space="0" w:color="auto"/>
        <w:bottom w:val="none" w:sz="0" w:space="0" w:color="auto"/>
        <w:right w:val="none" w:sz="0" w:space="0" w:color="auto"/>
      </w:divBdr>
    </w:div>
    <w:div w:id="493880615">
      <w:bodyDiv w:val="1"/>
      <w:marLeft w:val="0"/>
      <w:marRight w:val="0"/>
      <w:marTop w:val="0"/>
      <w:marBottom w:val="0"/>
      <w:divBdr>
        <w:top w:val="none" w:sz="0" w:space="0" w:color="auto"/>
        <w:left w:val="none" w:sz="0" w:space="0" w:color="auto"/>
        <w:bottom w:val="none" w:sz="0" w:space="0" w:color="auto"/>
        <w:right w:val="none" w:sz="0" w:space="0" w:color="auto"/>
      </w:divBdr>
    </w:div>
    <w:div w:id="635061103">
      <w:bodyDiv w:val="1"/>
      <w:marLeft w:val="0"/>
      <w:marRight w:val="0"/>
      <w:marTop w:val="0"/>
      <w:marBottom w:val="0"/>
      <w:divBdr>
        <w:top w:val="none" w:sz="0" w:space="0" w:color="auto"/>
        <w:left w:val="none" w:sz="0" w:space="0" w:color="auto"/>
        <w:bottom w:val="none" w:sz="0" w:space="0" w:color="auto"/>
        <w:right w:val="none" w:sz="0" w:space="0" w:color="auto"/>
      </w:divBdr>
    </w:div>
    <w:div w:id="718940583">
      <w:bodyDiv w:val="1"/>
      <w:marLeft w:val="0"/>
      <w:marRight w:val="0"/>
      <w:marTop w:val="0"/>
      <w:marBottom w:val="0"/>
      <w:divBdr>
        <w:top w:val="none" w:sz="0" w:space="0" w:color="auto"/>
        <w:left w:val="none" w:sz="0" w:space="0" w:color="auto"/>
        <w:bottom w:val="none" w:sz="0" w:space="0" w:color="auto"/>
        <w:right w:val="none" w:sz="0" w:space="0" w:color="auto"/>
      </w:divBdr>
    </w:div>
    <w:div w:id="749277802">
      <w:bodyDiv w:val="1"/>
      <w:marLeft w:val="0"/>
      <w:marRight w:val="0"/>
      <w:marTop w:val="0"/>
      <w:marBottom w:val="0"/>
      <w:divBdr>
        <w:top w:val="none" w:sz="0" w:space="0" w:color="auto"/>
        <w:left w:val="none" w:sz="0" w:space="0" w:color="auto"/>
        <w:bottom w:val="none" w:sz="0" w:space="0" w:color="auto"/>
        <w:right w:val="none" w:sz="0" w:space="0" w:color="auto"/>
      </w:divBdr>
    </w:div>
    <w:div w:id="764618704">
      <w:bodyDiv w:val="1"/>
      <w:marLeft w:val="0"/>
      <w:marRight w:val="0"/>
      <w:marTop w:val="0"/>
      <w:marBottom w:val="0"/>
      <w:divBdr>
        <w:top w:val="none" w:sz="0" w:space="0" w:color="auto"/>
        <w:left w:val="none" w:sz="0" w:space="0" w:color="auto"/>
        <w:bottom w:val="none" w:sz="0" w:space="0" w:color="auto"/>
        <w:right w:val="none" w:sz="0" w:space="0" w:color="auto"/>
      </w:divBdr>
    </w:div>
    <w:div w:id="859391479">
      <w:bodyDiv w:val="1"/>
      <w:marLeft w:val="0"/>
      <w:marRight w:val="0"/>
      <w:marTop w:val="0"/>
      <w:marBottom w:val="0"/>
      <w:divBdr>
        <w:top w:val="none" w:sz="0" w:space="0" w:color="auto"/>
        <w:left w:val="none" w:sz="0" w:space="0" w:color="auto"/>
        <w:bottom w:val="none" w:sz="0" w:space="0" w:color="auto"/>
        <w:right w:val="none" w:sz="0" w:space="0" w:color="auto"/>
      </w:divBdr>
    </w:div>
    <w:div w:id="964313738">
      <w:bodyDiv w:val="1"/>
      <w:marLeft w:val="0"/>
      <w:marRight w:val="0"/>
      <w:marTop w:val="0"/>
      <w:marBottom w:val="0"/>
      <w:divBdr>
        <w:top w:val="none" w:sz="0" w:space="0" w:color="auto"/>
        <w:left w:val="none" w:sz="0" w:space="0" w:color="auto"/>
        <w:bottom w:val="none" w:sz="0" w:space="0" w:color="auto"/>
        <w:right w:val="none" w:sz="0" w:space="0" w:color="auto"/>
      </w:divBdr>
    </w:div>
    <w:div w:id="974871527">
      <w:bodyDiv w:val="1"/>
      <w:marLeft w:val="0"/>
      <w:marRight w:val="0"/>
      <w:marTop w:val="0"/>
      <w:marBottom w:val="0"/>
      <w:divBdr>
        <w:top w:val="none" w:sz="0" w:space="0" w:color="auto"/>
        <w:left w:val="none" w:sz="0" w:space="0" w:color="auto"/>
        <w:bottom w:val="none" w:sz="0" w:space="0" w:color="auto"/>
        <w:right w:val="none" w:sz="0" w:space="0" w:color="auto"/>
      </w:divBdr>
    </w:div>
    <w:div w:id="1176457238">
      <w:bodyDiv w:val="1"/>
      <w:marLeft w:val="0"/>
      <w:marRight w:val="0"/>
      <w:marTop w:val="0"/>
      <w:marBottom w:val="0"/>
      <w:divBdr>
        <w:top w:val="none" w:sz="0" w:space="0" w:color="auto"/>
        <w:left w:val="none" w:sz="0" w:space="0" w:color="auto"/>
        <w:bottom w:val="none" w:sz="0" w:space="0" w:color="auto"/>
        <w:right w:val="none" w:sz="0" w:space="0" w:color="auto"/>
      </w:divBdr>
    </w:div>
    <w:div w:id="1272401078">
      <w:bodyDiv w:val="1"/>
      <w:marLeft w:val="0"/>
      <w:marRight w:val="0"/>
      <w:marTop w:val="0"/>
      <w:marBottom w:val="0"/>
      <w:divBdr>
        <w:top w:val="none" w:sz="0" w:space="0" w:color="auto"/>
        <w:left w:val="none" w:sz="0" w:space="0" w:color="auto"/>
        <w:bottom w:val="none" w:sz="0" w:space="0" w:color="auto"/>
        <w:right w:val="none" w:sz="0" w:space="0" w:color="auto"/>
      </w:divBdr>
    </w:div>
    <w:div w:id="1368869052">
      <w:bodyDiv w:val="1"/>
      <w:marLeft w:val="0"/>
      <w:marRight w:val="0"/>
      <w:marTop w:val="0"/>
      <w:marBottom w:val="0"/>
      <w:divBdr>
        <w:top w:val="none" w:sz="0" w:space="0" w:color="auto"/>
        <w:left w:val="none" w:sz="0" w:space="0" w:color="auto"/>
        <w:bottom w:val="none" w:sz="0" w:space="0" w:color="auto"/>
        <w:right w:val="none" w:sz="0" w:space="0" w:color="auto"/>
      </w:divBdr>
    </w:div>
    <w:div w:id="1376546881">
      <w:bodyDiv w:val="1"/>
      <w:marLeft w:val="0"/>
      <w:marRight w:val="0"/>
      <w:marTop w:val="0"/>
      <w:marBottom w:val="0"/>
      <w:divBdr>
        <w:top w:val="none" w:sz="0" w:space="0" w:color="auto"/>
        <w:left w:val="none" w:sz="0" w:space="0" w:color="auto"/>
        <w:bottom w:val="none" w:sz="0" w:space="0" w:color="auto"/>
        <w:right w:val="none" w:sz="0" w:space="0" w:color="auto"/>
      </w:divBdr>
    </w:div>
    <w:div w:id="1384329744">
      <w:bodyDiv w:val="1"/>
      <w:marLeft w:val="0"/>
      <w:marRight w:val="0"/>
      <w:marTop w:val="0"/>
      <w:marBottom w:val="0"/>
      <w:divBdr>
        <w:top w:val="none" w:sz="0" w:space="0" w:color="auto"/>
        <w:left w:val="none" w:sz="0" w:space="0" w:color="auto"/>
        <w:bottom w:val="none" w:sz="0" w:space="0" w:color="auto"/>
        <w:right w:val="none" w:sz="0" w:space="0" w:color="auto"/>
      </w:divBdr>
    </w:div>
    <w:div w:id="1461193210">
      <w:bodyDiv w:val="1"/>
      <w:marLeft w:val="0"/>
      <w:marRight w:val="0"/>
      <w:marTop w:val="0"/>
      <w:marBottom w:val="0"/>
      <w:divBdr>
        <w:top w:val="none" w:sz="0" w:space="0" w:color="auto"/>
        <w:left w:val="none" w:sz="0" w:space="0" w:color="auto"/>
        <w:bottom w:val="none" w:sz="0" w:space="0" w:color="auto"/>
        <w:right w:val="none" w:sz="0" w:space="0" w:color="auto"/>
      </w:divBdr>
    </w:div>
    <w:div w:id="1478183791">
      <w:bodyDiv w:val="1"/>
      <w:marLeft w:val="0"/>
      <w:marRight w:val="0"/>
      <w:marTop w:val="0"/>
      <w:marBottom w:val="0"/>
      <w:divBdr>
        <w:top w:val="none" w:sz="0" w:space="0" w:color="auto"/>
        <w:left w:val="none" w:sz="0" w:space="0" w:color="auto"/>
        <w:bottom w:val="none" w:sz="0" w:space="0" w:color="auto"/>
        <w:right w:val="none" w:sz="0" w:space="0" w:color="auto"/>
      </w:divBdr>
    </w:div>
    <w:div w:id="1567108608">
      <w:bodyDiv w:val="1"/>
      <w:marLeft w:val="0"/>
      <w:marRight w:val="0"/>
      <w:marTop w:val="0"/>
      <w:marBottom w:val="0"/>
      <w:divBdr>
        <w:top w:val="none" w:sz="0" w:space="0" w:color="auto"/>
        <w:left w:val="none" w:sz="0" w:space="0" w:color="auto"/>
        <w:bottom w:val="none" w:sz="0" w:space="0" w:color="auto"/>
        <w:right w:val="none" w:sz="0" w:space="0" w:color="auto"/>
      </w:divBdr>
    </w:div>
    <w:div w:id="1590850840">
      <w:bodyDiv w:val="1"/>
      <w:marLeft w:val="0"/>
      <w:marRight w:val="0"/>
      <w:marTop w:val="0"/>
      <w:marBottom w:val="0"/>
      <w:divBdr>
        <w:top w:val="none" w:sz="0" w:space="0" w:color="auto"/>
        <w:left w:val="none" w:sz="0" w:space="0" w:color="auto"/>
        <w:bottom w:val="none" w:sz="0" w:space="0" w:color="auto"/>
        <w:right w:val="none" w:sz="0" w:space="0" w:color="auto"/>
      </w:divBdr>
    </w:div>
    <w:div w:id="1720393411">
      <w:bodyDiv w:val="1"/>
      <w:marLeft w:val="0"/>
      <w:marRight w:val="0"/>
      <w:marTop w:val="0"/>
      <w:marBottom w:val="0"/>
      <w:divBdr>
        <w:top w:val="none" w:sz="0" w:space="0" w:color="auto"/>
        <w:left w:val="none" w:sz="0" w:space="0" w:color="auto"/>
        <w:bottom w:val="none" w:sz="0" w:space="0" w:color="auto"/>
        <w:right w:val="none" w:sz="0" w:space="0" w:color="auto"/>
      </w:divBdr>
    </w:div>
    <w:div w:id="1740787594">
      <w:bodyDiv w:val="1"/>
      <w:marLeft w:val="0"/>
      <w:marRight w:val="0"/>
      <w:marTop w:val="0"/>
      <w:marBottom w:val="0"/>
      <w:divBdr>
        <w:top w:val="none" w:sz="0" w:space="0" w:color="auto"/>
        <w:left w:val="none" w:sz="0" w:space="0" w:color="auto"/>
        <w:bottom w:val="none" w:sz="0" w:space="0" w:color="auto"/>
        <w:right w:val="none" w:sz="0" w:space="0" w:color="auto"/>
      </w:divBdr>
    </w:div>
    <w:div w:id="1765950961">
      <w:bodyDiv w:val="1"/>
      <w:marLeft w:val="0"/>
      <w:marRight w:val="0"/>
      <w:marTop w:val="0"/>
      <w:marBottom w:val="0"/>
      <w:divBdr>
        <w:top w:val="none" w:sz="0" w:space="0" w:color="auto"/>
        <w:left w:val="none" w:sz="0" w:space="0" w:color="auto"/>
        <w:bottom w:val="none" w:sz="0" w:space="0" w:color="auto"/>
        <w:right w:val="none" w:sz="0" w:space="0" w:color="auto"/>
      </w:divBdr>
    </w:div>
    <w:div w:id="1807702298">
      <w:bodyDiv w:val="1"/>
      <w:marLeft w:val="0"/>
      <w:marRight w:val="0"/>
      <w:marTop w:val="0"/>
      <w:marBottom w:val="0"/>
      <w:divBdr>
        <w:top w:val="none" w:sz="0" w:space="0" w:color="auto"/>
        <w:left w:val="none" w:sz="0" w:space="0" w:color="auto"/>
        <w:bottom w:val="none" w:sz="0" w:space="0" w:color="auto"/>
        <w:right w:val="none" w:sz="0" w:space="0" w:color="auto"/>
      </w:divBdr>
    </w:div>
    <w:div w:id="1822579082">
      <w:bodyDiv w:val="1"/>
      <w:marLeft w:val="0"/>
      <w:marRight w:val="0"/>
      <w:marTop w:val="0"/>
      <w:marBottom w:val="0"/>
      <w:divBdr>
        <w:top w:val="none" w:sz="0" w:space="0" w:color="auto"/>
        <w:left w:val="none" w:sz="0" w:space="0" w:color="auto"/>
        <w:bottom w:val="none" w:sz="0" w:space="0" w:color="auto"/>
        <w:right w:val="none" w:sz="0" w:space="0" w:color="auto"/>
      </w:divBdr>
    </w:div>
    <w:div w:id="1830562306">
      <w:bodyDiv w:val="1"/>
      <w:marLeft w:val="0"/>
      <w:marRight w:val="0"/>
      <w:marTop w:val="0"/>
      <w:marBottom w:val="0"/>
      <w:divBdr>
        <w:top w:val="none" w:sz="0" w:space="0" w:color="auto"/>
        <w:left w:val="none" w:sz="0" w:space="0" w:color="auto"/>
        <w:bottom w:val="none" w:sz="0" w:space="0" w:color="auto"/>
        <w:right w:val="none" w:sz="0" w:space="0" w:color="auto"/>
      </w:divBdr>
    </w:div>
    <w:div w:id="1907715376">
      <w:bodyDiv w:val="1"/>
      <w:marLeft w:val="0"/>
      <w:marRight w:val="0"/>
      <w:marTop w:val="0"/>
      <w:marBottom w:val="0"/>
      <w:divBdr>
        <w:top w:val="none" w:sz="0" w:space="0" w:color="auto"/>
        <w:left w:val="none" w:sz="0" w:space="0" w:color="auto"/>
        <w:bottom w:val="none" w:sz="0" w:space="0" w:color="auto"/>
        <w:right w:val="none" w:sz="0" w:space="0" w:color="auto"/>
      </w:divBdr>
    </w:div>
    <w:div w:id="2027124707">
      <w:bodyDiv w:val="1"/>
      <w:marLeft w:val="0"/>
      <w:marRight w:val="0"/>
      <w:marTop w:val="0"/>
      <w:marBottom w:val="0"/>
      <w:divBdr>
        <w:top w:val="none" w:sz="0" w:space="0" w:color="auto"/>
        <w:left w:val="none" w:sz="0" w:space="0" w:color="auto"/>
        <w:bottom w:val="none" w:sz="0" w:space="0" w:color="auto"/>
        <w:right w:val="none" w:sz="0" w:space="0" w:color="auto"/>
      </w:divBdr>
    </w:div>
    <w:div w:id="2041198852">
      <w:bodyDiv w:val="1"/>
      <w:marLeft w:val="0"/>
      <w:marRight w:val="0"/>
      <w:marTop w:val="0"/>
      <w:marBottom w:val="0"/>
      <w:divBdr>
        <w:top w:val="none" w:sz="0" w:space="0" w:color="auto"/>
        <w:left w:val="none" w:sz="0" w:space="0" w:color="auto"/>
        <w:bottom w:val="none" w:sz="0" w:space="0" w:color="auto"/>
        <w:right w:val="none" w:sz="0" w:space="0" w:color="auto"/>
      </w:divBdr>
    </w:div>
    <w:div w:id="2044816609">
      <w:bodyDiv w:val="1"/>
      <w:marLeft w:val="0"/>
      <w:marRight w:val="0"/>
      <w:marTop w:val="0"/>
      <w:marBottom w:val="0"/>
      <w:divBdr>
        <w:top w:val="none" w:sz="0" w:space="0" w:color="auto"/>
        <w:left w:val="none" w:sz="0" w:space="0" w:color="auto"/>
        <w:bottom w:val="none" w:sz="0" w:space="0" w:color="auto"/>
        <w:right w:val="none" w:sz="0" w:space="0" w:color="auto"/>
      </w:divBdr>
    </w:div>
    <w:div w:id="205507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D9A9BFC4-8C9D-4571-9423-5EF895A77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13</Pages>
  <Words>2923</Words>
  <Characters>17541</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Nikonowicz Marek</dc:creator>
  <cp:lastModifiedBy>Wójcik Małgorzata</cp:lastModifiedBy>
  <cp:revision>4</cp:revision>
  <cp:lastPrinted>2019-07-22T05:34:00Z</cp:lastPrinted>
  <dcterms:created xsi:type="dcterms:W3CDTF">2019-09-10T08:04:00Z</dcterms:created>
  <dcterms:modified xsi:type="dcterms:W3CDTF">2019-09-11T07:52:00Z</dcterms:modified>
</cp:coreProperties>
</file>